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515" w:rsidRDefault="00DC2515" w:rsidP="00DC2515">
      <w:pPr>
        <w:rPr>
          <w:rFonts w:asciiTheme="minorHAnsi" w:hAnsiTheme="minorHAnsi" w:cstheme="minorHAnsi"/>
          <w:b/>
          <w:sz w:val="28"/>
          <w:szCs w:val="28"/>
        </w:rPr>
      </w:pPr>
      <w:r>
        <w:rPr>
          <w:rFonts w:asciiTheme="minorHAnsi" w:hAnsiTheme="minorHAnsi" w:cstheme="minorHAnsi"/>
          <w:noProof/>
          <w:lang w:val="sk-SK" w:eastAsia="sk-SK"/>
        </w:rPr>
        <w:drawing>
          <wp:anchor distT="0" distB="0" distL="114300" distR="114300" simplePos="0" relativeHeight="251659264" behindDoc="1" locked="0" layoutInCell="1" allowOverlap="1">
            <wp:simplePos x="0" y="0"/>
            <wp:positionH relativeFrom="margin">
              <wp:posOffset>-947420</wp:posOffset>
            </wp:positionH>
            <wp:positionV relativeFrom="paragraph">
              <wp:posOffset>703580</wp:posOffset>
            </wp:positionV>
            <wp:extent cx="7604760" cy="97840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4760" cy="9784080"/>
                    </a:xfrm>
                    <a:prstGeom prst="rect">
                      <a:avLst/>
                    </a:prstGeom>
                  </pic:spPr>
                </pic:pic>
              </a:graphicData>
            </a:graphic>
          </wp:anchor>
        </w:drawing>
      </w:r>
      <w:r>
        <w:rPr>
          <w:rFonts w:asciiTheme="minorHAnsi" w:hAnsiTheme="minorHAnsi" w:cstheme="minorHAnsi"/>
          <w:b/>
          <w:sz w:val="28"/>
          <w:szCs w:val="28"/>
        </w:rPr>
        <w:t xml:space="preserve"> </w:t>
      </w:r>
      <w:r>
        <w:rPr>
          <w:rFonts w:asciiTheme="minorHAnsi" w:hAnsiTheme="minorHAnsi" w:cstheme="minorHAnsi"/>
          <w:b/>
          <w:noProof/>
          <w:sz w:val="28"/>
          <w:szCs w:val="28"/>
          <w:lang w:val="sk-SK" w:eastAsia="sk-SK"/>
        </w:rPr>
        <w:drawing>
          <wp:inline distT="0" distB="0" distL="0" distR="0">
            <wp:extent cx="1980229" cy="49470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P-EVS-farba-sv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2824" cy="497855"/>
                    </a:xfrm>
                    <a:prstGeom prst="rect">
                      <a:avLst/>
                    </a:prstGeom>
                  </pic:spPr>
                </pic:pic>
              </a:graphicData>
            </a:graphic>
          </wp:inline>
        </w:drawing>
      </w:r>
      <w:r>
        <w:rPr>
          <w:rFonts w:asciiTheme="minorHAnsi" w:hAnsiTheme="minorHAnsi" w:cstheme="minorHAnsi"/>
          <w:b/>
          <w:sz w:val="28"/>
          <w:szCs w:val="28"/>
        </w:rPr>
        <w:t xml:space="preserve">           </w:t>
      </w:r>
      <w:r>
        <w:rPr>
          <w:rFonts w:asciiTheme="minorHAnsi" w:hAnsiTheme="minorHAnsi" w:cstheme="minorHAnsi"/>
          <w:b/>
          <w:noProof/>
          <w:sz w:val="28"/>
          <w:szCs w:val="28"/>
          <w:lang w:val="sk-SK" w:eastAsia="sk-SK"/>
        </w:rPr>
        <w:drawing>
          <wp:inline distT="0" distB="0" distL="0" distR="0">
            <wp:extent cx="697033" cy="600269"/>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nova_logo_2014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937" cy="620855"/>
                    </a:xfrm>
                    <a:prstGeom prst="rect">
                      <a:avLst/>
                    </a:prstGeom>
                  </pic:spPr>
                </pic:pic>
              </a:graphicData>
            </a:graphic>
          </wp:inline>
        </w:drawing>
      </w:r>
      <w:r>
        <w:rPr>
          <w:rFonts w:asciiTheme="minorHAnsi" w:hAnsiTheme="minorHAnsi" w:cstheme="minorHAnsi"/>
          <w:b/>
          <w:sz w:val="28"/>
          <w:szCs w:val="28"/>
        </w:rPr>
        <w:t xml:space="preserve">            </w:t>
      </w:r>
      <w:r>
        <w:rPr>
          <w:rFonts w:asciiTheme="minorHAnsi" w:hAnsiTheme="minorHAnsi" w:cstheme="minorHAnsi"/>
          <w:b/>
          <w:noProof/>
          <w:sz w:val="28"/>
          <w:szCs w:val="28"/>
          <w:lang w:val="sk-SK" w:eastAsia="sk-SK"/>
        </w:rPr>
        <w:drawing>
          <wp:inline distT="0" distB="0" distL="0" distR="0">
            <wp:extent cx="2043604" cy="510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U-ESF-farba-sv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6627" cy="516292"/>
                    </a:xfrm>
                    <a:prstGeom prst="rect">
                      <a:avLst/>
                    </a:prstGeom>
                  </pic:spPr>
                </pic:pic>
              </a:graphicData>
            </a:graphic>
          </wp:inline>
        </w:drawing>
      </w:r>
    </w:p>
    <w:p w:rsidR="00DC2515" w:rsidRDefault="00DC2515" w:rsidP="00DC2515">
      <w:pPr>
        <w:pStyle w:val="Odsekzoznamu"/>
      </w:pPr>
    </w:p>
    <w:p w:rsidR="00DC2515" w:rsidRDefault="00DC2515" w:rsidP="00DC2515">
      <w:pPr>
        <w:pStyle w:val="Zkladntext"/>
        <w:ind w:right="551"/>
        <w:jc w:val="center"/>
        <w:rPr>
          <w:rFonts w:ascii="Calibri" w:hAnsi="Calibri" w:cs="Calibri"/>
          <w:b/>
          <w:bCs/>
          <w:spacing w:val="12"/>
          <w:sz w:val="28"/>
          <w:szCs w:val="28"/>
          <w:lang w:val="sk-SK"/>
        </w:rPr>
      </w:pPr>
    </w:p>
    <w:p w:rsidR="00DC2515" w:rsidRDefault="00DC2515" w:rsidP="00DC2515">
      <w:pPr>
        <w:pStyle w:val="Zkladntext"/>
        <w:ind w:right="551"/>
        <w:jc w:val="center"/>
        <w:rPr>
          <w:rFonts w:ascii="Calibri" w:hAnsi="Calibri" w:cs="Calibri"/>
          <w:b/>
          <w:bCs/>
          <w:spacing w:val="12"/>
          <w:sz w:val="28"/>
          <w:szCs w:val="28"/>
          <w:lang w:val="sk-SK"/>
        </w:rPr>
      </w:pPr>
    </w:p>
    <w:p w:rsidR="00DC2515" w:rsidRDefault="00DC2515" w:rsidP="00DC2515">
      <w:pPr>
        <w:pStyle w:val="Zkladntext"/>
        <w:ind w:right="551"/>
        <w:jc w:val="center"/>
        <w:rPr>
          <w:rFonts w:ascii="Calibri" w:hAnsi="Calibri" w:cs="Calibri"/>
          <w:b/>
          <w:bCs/>
          <w:spacing w:val="12"/>
          <w:sz w:val="28"/>
          <w:szCs w:val="28"/>
          <w:lang w:val="sk-SK"/>
        </w:rPr>
      </w:pPr>
      <w:r>
        <w:rPr>
          <w:rFonts w:ascii="Calibri" w:hAnsi="Calibri" w:cs="Calibri"/>
          <w:b/>
          <w:bCs/>
          <w:spacing w:val="12"/>
          <w:sz w:val="28"/>
          <w:szCs w:val="28"/>
          <w:lang w:val="sk-SK"/>
        </w:rPr>
        <w:t>O</w:t>
      </w:r>
      <w:r w:rsidR="004F209F">
        <w:rPr>
          <w:rFonts w:ascii="Calibri" w:hAnsi="Calibri" w:cs="Calibri"/>
          <w:b/>
          <w:bCs/>
          <w:spacing w:val="12"/>
          <w:sz w:val="28"/>
          <w:szCs w:val="28"/>
          <w:lang w:val="sk-SK"/>
        </w:rPr>
        <w:t>perational Programme Effective Public administration</w:t>
      </w:r>
    </w:p>
    <w:p w:rsidR="00DC2515" w:rsidRDefault="00DC2515" w:rsidP="00DC2515">
      <w:pPr>
        <w:pStyle w:val="Zkladntext"/>
        <w:ind w:right="551"/>
        <w:jc w:val="center"/>
        <w:rPr>
          <w:rFonts w:ascii="Calibri" w:hAnsi="Calibri" w:cs="Calibri"/>
          <w:b/>
          <w:bCs/>
          <w:spacing w:val="12"/>
          <w:sz w:val="28"/>
          <w:szCs w:val="28"/>
          <w:lang w:val="sk-SK"/>
        </w:rPr>
      </w:pPr>
    </w:p>
    <w:p w:rsidR="00DC2515" w:rsidRPr="006D1372" w:rsidRDefault="004F209F" w:rsidP="00DC2515">
      <w:pPr>
        <w:pStyle w:val="Zkladntext"/>
        <w:ind w:right="551"/>
        <w:jc w:val="center"/>
        <w:rPr>
          <w:rFonts w:ascii="Calibri" w:hAnsi="Calibri" w:cs="Calibri"/>
          <w:b/>
          <w:bCs/>
          <w:spacing w:val="12"/>
          <w:sz w:val="28"/>
          <w:szCs w:val="28"/>
          <w:lang w:val="sk-SK"/>
        </w:rPr>
      </w:pPr>
      <w:r>
        <w:rPr>
          <w:rFonts w:ascii="Calibri" w:hAnsi="Calibri" w:cs="Calibri"/>
          <w:b/>
          <w:bCs/>
          <w:spacing w:val="12"/>
          <w:sz w:val="28"/>
          <w:szCs w:val="28"/>
          <w:lang w:val="sk-SK"/>
        </w:rPr>
        <w:t xml:space="preserve">Designing Modern Policy of Adult Education </w:t>
      </w:r>
    </w:p>
    <w:p w:rsidR="00DC2515" w:rsidRDefault="004F209F" w:rsidP="00DC2515">
      <w:pPr>
        <w:pStyle w:val="Zkladntext"/>
        <w:ind w:right="551"/>
        <w:jc w:val="center"/>
        <w:rPr>
          <w:rFonts w:ascii="Calibri" w:hAnsi="Calibri" w:cs="Calibri"/>
          <w:b/>
          <w:bCs/>
          <w:spacing w:val="12"/>
          <w:sz w:val="28"/>
          <w:szCs w:val="28"/>
          <w:lang w:val="sk-SK"/>
        </w:rPr>
      </w:pPr>
      <w:r>
        <w:rPr>
          <w:rFonts w:ascii="Calibri" w:hAnsi="Calibri" w:cs="Calibri"/>
          <w:b/>
          <w:bCs/>
          <w:spacing w:val="12"/>
          <w:sz w:val="28"/>
          <w:szCs w:val="28"/>
          <w:lang w:val="sk-SK"/>
        </w:rPr>
        <w:t>Project</w:t>
      </w:r>
      <w:r w:rsidRPr="006D1372">
        <w:rPr>
          <w:rFonts w:ascii="Calibri" w:hAnsi="Calibri" w:cs="Calibri"/>
          <w:b/>
          <w:bCs/>
          <w:spacing w:val="12"/>
          <w:sz w:val="28"/>
          <w:szCs w:val="28"/>
          <w:lang w:val="sk-SK"/>
        </w:rPr>
        <w:t xml:space="preserve"> </w:t>
      </w:r>
      <w:r>
        <w:rPr>
          <w:rFonts w:ascii="Calibri" w:hAnsi="Calibri" w:cs="Calibri"/>
          <w:b/>
          <w:bCs/>
          <w:spacing w:val="12"/>
          <w:sz w:val="28"/>
          <w:szCs w:val="28"/>
          <w:lang w:val="sk-SK"/>
        </w:rPr>
        <w:t>Nr</w:t>
      </w:r>
      <w:r w:rsidR="00DC2515" w:rsidRPr="006D1372">
        <w:rPr>
          <w:rFonts w:ascii="Calibri" w:hAnsi="Calibri" w:cs="Calibri"/>
          <w:b/>
          <w:bCs/>
          <w:spacing w:val="12"/>
          <w:sz w:val="28"/>
          <w:szCs w:val="28"/>
          <w:lang w:val="sk-SK"/>
        </w:rPr>
        <w:t>. 314011K061</w:t>
      </w:r>
    </w:p>
    <w:p w:rsidR="00DC2515" w:rsidRDefault="00DC2515" w:rsidP="00DC2515">
      <w:pPr>
        <w:pStyle w:val="Zkladntext"/>
        <w:ind w:right="551"/>
        <w:jc w:val="center"/>
        <w:rPr>
          <w:rFonts w:ascii="Calibri" w:hAnsi="Calibri" w:cs="Calibri"/>
          <w:b/>
          <w:bCs/>
          <w:spacing w:val="12"/>
          <w:sz w:val="28"/>
          <w:szCs w:val="28"/>
          <w:lang w:val="sk-SK"/>
        </w:rPr>
      </w:pPr>
    </w:p>
    <w:p w:rsidR="00DC2515" w:rsidRDefault="00DC2515" w:rsidP="00DC2515">
      <w:pPr>
        <w:pStyle w:val="Zkladntext"/>
        <w:ind w:right="551"/>
        <w:jc w:val="center"/>
        <w:rPr>
          <w:rFonts w:ascii="Calibri" w:hAnsi="Calibri" w:cs="Calibri"/>
          <w:b/>
          <w:bCs/>
          <w:spacing w:val="12"/>
          <w:sz w:val="28"/>
          <w:szCs w:val="28"/>
          <w:lang w:val="sk-SK"/>
        </w:rPr>
      </w:pPr>
    </w:p>
    <w:p w:rsidR="00DC2515" w:rsidRDefault="00DC2515" w:rsidP="00DC2515">
      <w:pPr>
        <w:pStyle w:val="Zkladntext"/>
        <w:ind w:right="551"/>
        <w:jc w:val="center"/>
        <w:rPr>
          <w:rFonts w:asciiTheme="minorHAnsi" w:hAnsiTheme="minorHAnsi" w:cstheme="minorHAnsi"/>
          <w:b/>
          <w:bCs/>
          <w:spacing w:val="12"/>
          <w:sz w:val="28"/>
          <w:szCs w:val="28"/>
          <w:lang w:val="sk-SK"/>
        </w:rPr>
      </w:pPr>
      <w:r>
        <w:rPr>
          <w:rFonts w:asciiTheme="minorHAnsi" w:hAnsiTheme="minorHAnsi" w:cstheme="minorHAnsi"/>
          <w:b/>
          <w:bCs/>
          <w:spacing w:val="12"/>
          <w:sz w:val="28"/>
          <w:szCs w:val="28"/>
          <w:lang w:val="sk-SK"/>
        </w:rPr>
        <w:t>1</w:t>
      </w:r>
      <w:r w:rsidR="004F209F">
        <w:rPr>
          <w:rFonts w:asciiTheme="minorHAnsi" w:hAnsiTheme="minorHAnsi" w:cstheme="minorHAnsi"/>
          <w:b/>
          <w:bCs/>
          <w:spacing w:val="12"/>
          <w:sz w:val="28"/>
          <w:szCs w:val="28"/>
          <w:lang w:val="sk-SK"/>
        </w:rPr>
        <w:t>st</w:t>
      </w:r>
      <w:bookmarkStart w:id="0" w:name="_GoBack"/>
      <w:bookmarkEnd w:id="0"/>
      <w:r>
        <w:rPr>
          <w:rFonts w:asciiTheme="minorHAnsi" w:hAnsiTheme="minorHAnsi" w:cstheme="minorHAnsi"/>
          <w:b/>
          <w:bCs/>
          <w:spacing w:val="12"/>
          <w:sz w:val="28"/>
          <w:szCs w:val="28"/>
          <w:lang w:val="sk-SK"/>
        </w:rPr>
        <w:t xml:space="preserve"> </w:t>
      </w:r>
      <w:r w:rsidR="004F209F">
        <w:rPr>
          <w:rFonts w:asciiTheme="minorHAnsi" w:hAnsiTheme="minorHAnsi" w:cstheme="minorHAnsi"/>
          <w:b/>
          <w:bCs/>
          <w:spacing w:val="12"/>
          <w:sz w:val="28"/>
          <w:szCs w:val="28"/>
          <w:lang w:val="sk-SK"/>
        </w:rPr>
        <w:t>phase of the project - Mapping</w:t>
      </w:r>
    </w:p>
    <w:p w:rsidR="00DC2515" w:rsidRDefault="00292AD3" w:rsidP="00DC2515">
      <w:pPr>
        <w:pStyle w:val="Zkladntext"/>
        <w:ind w:right="551"/>
        <w:jc w:val="center"/>
        <w:rPr>
          <w:rFonts w:asciiTheme="minorHAnsi" w:hAnsiTheme="minorHAnsi" w:cstheme="minorHAnsi"/>
          <w:b/>
          <w:bCs/>
          <w:spacing w:val="12"/>
          <w:sz w:val="28"/>
          <w:szCs w:val="28"/>
          <w:lang w:val="sk-SK"/>
        </w:rPr>
      </w:pPr>
      <w:r>
        <w:rPr>
          <w:rFonts w:asciiTheme="minorHAnsi" w:hAnsiTheme="minorHAnsi" w:cstheme="minorHAnsi"/>
          <w:b/>
          <w:bCs/>
          <w:spacing w:val="12"/>
          <w:sz w:val="28"/>
          <w:szCs w:val="28"/>
          <w:lang w:val="sk-SK"/>
        </w:rPr>
        <w:t xml:space="preserve"> </w:t>
      </w:r>
    </w:p>
    <w:p w:rsidR="000F2EFE" w:rsidRDefault="000F2EFE" w:rsidP="00DC2515">
      <w:pPr>
        <w:pStyle w:val="Zkladntext"/>
        <w:ind w:right="551"/>
        <w:jc w:val="center"/>
        <w:rPr>
          <w:rFonts w:asciiTheme="minorHAnsi" w:hAnsiTheme="minorHAnsi" w:cstheme="minorHAnsi"/>
          <w:b/>
          <w:bCs/>
          <w:spacing w:val="12"/>
          <w:sz w:val="28"/>
          <w:szCs w:val="28"/>
          <w:lang w:val="sk-SK"/>
        </w:rPr>
      </w:pPr>
    </w:p>
    <w:p w:rsidR="002F588B" w:rsidRDefault="002F588B" w:rsidP="00DC2515">
      <w:pPr>
        <w:pStyle w:val="Zkladntext"/>
        <w:ind w:right="551"/>
        <w:jc w:val="center"/>
        <w:rPr>
          <w:rFonts w:asciiTheme="minorHAnsi" w:hAnsiTheme="minorHAnsi" w:cstheme="minorHAnsi"/>
          <w:b/>
          <w:bCs/>
          <w:spacing w:val="12"/>
          <w:sz w:val="28"/>
          <w:szCs w:val="28"/>
          <w:lang w:val="sk-SK"/>
        </w:rPr>
      </w:pPr>
    </w:p>
    <w:p w:rsidR="000F2EFE" w:rsidRPr="00032E7F" w:rsidRDefault="000F2EFE" w:rsidP="00DC2515">
      <w:pPr>
        <w:pStyle w:val="Zkladntext"/>
        <w:ind w:right="551"/>
        <w:jc w:val="center"/>
        <w:rPr>
          <w:rFonts w:asciiTheme="minorHAnsi" w:hAnsiTheme="minorHAnsi" w:cstheme="minorHAnsi"/>
          <w:b/>
          <w:bCs/>
          <w:spacing w:val="12"/>
          <w:sz w:val="28"/>
          <w:szCs w:val="28"/>
          <w:lang w:val="sk-SK"/>
        </w:rPr>
      </w:pPr>
      <w:r>
        <w:rPr>
          <w:rFonts w:asciiTheme="minorHAnsi" w:hAnsiTheme="minorHAnsi" w:cstheme="minorHAnsi"/>
          <w:b/>
          <w:bCs/>
          <w:spacing w:val="12"/>
          <w:sz w:val="28"/>
          <w:szCs w:val="28"/>
          <w:lang w:val="sk-SK"/>
        </w:rPr>
        <w:t>ENGLISH SUMMARY</w:t>
      </w:r>
    </w:p>
    <w:p w:rsidR="00DC2515" w:rsidRPr="008363A3" w:rsidRDefault="00DC2515" w:rsidP="00DC2515">
      <w:pPr>
        <w:spacing w:line="240" w:lineRule="auto"/>
        <w:contextualSpacing/>
        <w:jc w:val="center"/>
        <w:rPr>
          <w:rFonts w:asciiTheme="minorHAnsi" w:hAnsiTheme="minorHAnsi" w:cstheme="minorHAnsi"/>
          <w:b/>
          <w:sz w:val="28"/>
          <w:szCs w:val="28"/>
        </w:rPr>
      </w:pPr>
    </w:p>
    <w:p w:rsidR="00DC2515" w:rsidRPr="008363A3" w:rsidRDefault="00DC2515" w:rsidP="00DC2515">
      <w:pPr>
        <w:spacing w:line="240" w:lineRule="auto"/>
        <w:contextualSpacing/>
        <w:jc w:val="center"/>
        <w:rPr>
          <w:rFonts w:asciiTheme="minorHAnsi" w:hAnsiTheme="minorHAnsi" w:cstheme="minorHAnsi"/>
          <w:b/>
          <w:sz w:val="28"/>
          <w:szCs w:val="28"/>
        </w:rPr>
      </w:pPr>
    </w:p>
    <w:p w:rsidR="00DC2515" w:rsidRPr="008363A3" w:rsidRDefault="00DC2515" w:rsidP="00DC2515">
      <w:pPr>
        <w:spacing w:line="240" w:lineRule="auto"/>
        <w:contextualSpacing/>
        <w:jc w:val="center"/>
        <w:rPr>
          <w:rFonts w:asciiTheme="minorHAnsi" w:hAnsiTheme="minorHAnsi" w:cstheme="minorHAnsi"/>
          <w:b/>
        </w:rPr>
      </w:pPr>
    </w:p>
    <w:p w:rsidR="00DC2515" w:rsidRPr="008363A3" w:rsidRDefault="00DC2515" w:rsidP="00DC2515">
      <w:pPr>
        <w:spacing w:line="240" w:lineRule="auto"/>
        <w:contextualSpacing/>
        <w:jc w:val="center"/>
        <w:rPr>
          <w:rFonts w:asciiTheme="minorHAnsi" w:hAnsiTheme="minorHAnsi" w:cstheme="minorHAnsi"/>
        </w:rPr>
      </w:pPr>
    </w:p>
    <w:p w:rsidR="00DC2515" w:rsidRPr="008363A3" w:rsidRDefault="00DC2515" w:rsidP="00DC2515">
      <w:pPr>
        <w:spacing w:line="360" w:lineRule="auto"/>
        <w:contextualSpacing/>
        <w:jc w:val="center"/>
        <w:rPr>
          <w:rFonts w:asciiTheme="minorHAnsi" w:hAnsiTheme="minorHAnsi" w:cstheme="minorHAnsi"/>
        </w:rPr>
      </w:pPr>
    </w:p>
    <w:p w:rsidR="00DC2515" w:rsidRPr="008363A3" w:rsidRDefault="00DC2515" w:rsidP="00DC2515">
      <w:pPr>
        <w:spacing w:line="360" w:lineRule="auto"/>
        <w:contextualSpacing/>
        <w:rPr>
          <w:rFonts w:asciiTheme="minorHAnsi" w:hAnsiTheme="minorHAnsi" w:cstheme="minorHAnsi"/>
        </w:rPr>
      </w:pPr>
      <w:r w:rsidRPr="008363A3">
        <w:rPr>
          <w:rFonts w:asciiTheme="minorHAnsi" w:hAnsiTheme="minorHAnsi" w:cstheme="minorHAnsi"/>
        </w:rPr>
        <w:t xml:space="preserve">       </w:t>
      </w:r>
    </w:p>
    <w:p w:rsidR="00DC2515" w:rsidRPr="00221A8A" w:rsidRDefault="00DC2515" w:rsidP="00DC2515">
      <w:pPr>
        <w:spacing w:line="240" w:lineRule="auto"/>
        <w:contextualSpacing/>
        <w:rPr>
          <w:rFonts w:ascii="Candara" w:hAnsi="Candara" w:cstheme="minorHAnsi"/>
        </w:rPr>
      </w:pPr>
    </w:p>
    <w:p w:rsidR="00DC2515" w:rsidRDefault="00DC2515" w:rsidP="00DC2515">
      <w:pPr>
        <w:spacing w:line="240" w:lineRule="auto"/>
        <w:ind w:left="708" w:firstLine="708"/>
        <w:contextualSpacing/>
        <w:rPr>
          <w:rFonts w:ascii="Candara" w:hAnsi="Candara" w:cstheme="minorHAnsi"/>
          <w:b/>
        </w:rPr>
      </w:pPr>
    </w:p>
    <w:p w:rsidR="00DC2515" w:rsidRDefault="00DC2515" w:rsidP="00DC2515">
      <w:pPr>
        <w:spacing w:line="240" w:lineRule="auto"/>
        <w:contextualSpacing/>
        <w:rPr>
          <w:rFonts w:ascii="Candara" w:hAnsi="Candara" w:cstheme="minorHAnsi"/>
          <w:b/>
        </w:rPr>
      </w:pPr>
    </w:p>
    <w:p w:rsidR="00DC2515" w:rsidRDefault="00DC2515" w:rsidP="00DC2515">
      <w:pPr>
        <w:spacing w:line="240" w:lineRule="auto"/>
        <w:contextualSpacing/>
        <w:rPr>
          <w:rFonts w:ascii="Candara" w:hAnsi="Candara" w:cstheme="minorHAnsi"/>
          <w:b/>
        </w:rPr>
      </w:pPr>
    </w:p>
    <w:p w:rsidR="00DC2515" w:rsidRDefault="00DC2515" w:rsidP="00DC2515">
      <w:pPr>
        <w:spacing w:line="240" w:lineRule="auto"/>
        <w:contextualSpacing/>
        <w:rPr>
          <w:rFonts w:ascii="Candara" w:hAnsi="Candara" w:cstheme="minorHAnsi"/>
        </w:rPr>
      </w:pPr>
    </w:p>
    <w:p w:rsidR="00DC2515" w:rsidRPr="00A617FA" w:rsidRDefault="00DC2515" w:rsidP="00DC2515">
      <w:pPr>
        <w:jc w:val="both"/>
        <w:rPr>
          <w:rFonts w:asciiTheme="minorHAnsi" w:hAnsiTheme="minorHAnsi" w:cstheme="minorHAnsi"/>
        </w:rPr>
      </w:pPr>
    </w:p>
    <w:p w:rsidR="00A942E5" w:rsidRPr="00A8589E" w:rsidRDefault="00A942E5" w:rsidP="00554053">
      <w:pPr>
        <w:pStyle w:val="Zkladntext"/>
        <w:ind w:right="551"/>
        <w:rPr>
          <w:rFonts w:cs="Arial"/>
          <w:spacing w:val="12"/>
          <w:sz w:val="22"/>
          <w:szCs w:val="22"/>
        </w:rPr>
      </w:pPr>
    </w:p>
    <w:p w:rsidR="00A942E5" w:rsidRDefault="00A942E5" w:rsidP="00554053">
      <w:pPr>
        <w:pStyle w:val="Zkladntext"/>
        <w:ind w:right="551"/>
        <w:rPr>
          <w:rFonts w:cs="Arial"/>
          <w:spacing w:val="12"/>
          <w:sz w:val="22"/>
          <w:szCs w:val="22"/>
        </w:rPr>
      </w:pPr>
    </w:p>
    <w:sdt>
      <w:sdtPr>
        <w:rPr>
          <w:rFonts w:ascii="Arial" w:eastAsia="Times New Roman" w:hAnsi="Arial" w:cs="Times New Roman"/>
          <w:color w:val="auto"/>
          <w:sz w:val="24"/>
          <w:szCs w:val="24"/>
          <w:lang w:val="en-GB" w:eastAsia="en-GB"/>
        </w:rPr>
        <w:id w:val="1602986981"/>
        <w:docPartObj>
          <w:docPartGallery w:val="Table of Contents"/>
          <w:docPartUnique/>
        </w:docPartObj>
      </w:sdtPr>
      <w:sdtEndPr>
        <w:rPr>
          <w:b/>
          <w:bCs/>
        </w:rPr>
      </w:sdtEndPr>
      <w:sdtContent>
        <w:p w:rsidR="00DC2515" w:rsidRDefault="000F2EFE">
          <w:pPr>
            <w:pStyle w:val="Hlavikaobsahu"/>
          </w:pPr>
          <w:r>
            <w:t>Contents</w:t>
          </w:r>
        </w:p>
        <w:p w:rsidR="000F2EFE" w:rsidRPr="000F2EFE" w:rsidRDefault="000F2EFE" w:rsidP="000F2EFE">
          <w:pPr>
            <w:rPr>
              <w:lang w:val="sk-SK" w:eastAsia="sk-SK"/>
            </w:rPr>
          </w:pPr>
        </w:p>
        <w:p w:rsidR="00691883" w:rsidRDefault="00F13A0E">
          <w:pPr>
            <w:pStyle w:val="Obsah1"/>
            <w:tabs>
              <w:tab w:val="left" w:pos="660"/>
              <w:tab w:val="right" w:leader="dot" w:pos="9062"/>
            </w:tabs>
            <w:rPr>
              <w:rFonts w:asciiTheme="minorHAnsi" w:eastAsiaTheme="minorEastAsia" w:hAnsiTheme="minorHAnsi" w:cstheme="minorBidi"/>
              <w:noProof/>
              <w:sz w:val="22"/>
              <w:szCs w:val="22"/>
              <w:lang w:val="en-US" w:eastAsia="en-US"/>
            </w:rPr>
          </w:pPr>
          <w:r>
            <w:fldChar w:fldCharType="begin"/>
          </w:r>
          <w:r w:rsidR="00DC2515">
            <w:instrText xml:space="preserve"> TOC \o "1-3" \h \z \u </w:instrText>
          </w:r>
          <w:r>
            <w:fldChar w:fldCharType="separate"/>
          </w:r>
          <w:hyperlink w:anchor="_Toc9940755" w:history="1">
            <w:r w:rsidR="00691883" w:rsidRPr="008B002C">
              <w:rPr>
                <w:rStyle w:val="Hypertextovprepojenie"/>
                <w:noProof/>
              </w:rPr>
              <w:t>1.0</w:t>
            </w:r>
            <w:r w:rsidR="00691883">
              <w:rPr>
                <w:rFonts w:asciiTheme="minorHAnsi" w:eastAsiaTheme="minorEastAsia" w:hAnsiTheme="minorHAnsi" w:cstheme="minorBidi"/>
                <w:noProof/>
                <w:sz w:val="22"/>
                <w:szCs w:val="22"/>
                <w:lang w:val="en-US" w:eastAsia="en-US"/>
              </w:rPr>
              <w:tab/>
            </w:r>
            <w:r w:rsidR="00691883" w:rsidRPr="008B002C">
              <w:rPr>
                <w:rStyle w:val="Hypertextovprepojenie"/>
                <w:noProof/>
              </w:rPr>
              <w:t>Introduction</w:t>
            </w:r>
            <w:r w:rsidR="00691883">
              <w:rPr>
                <w:noProof/>
                <w:webHidden/>
              </w:rPr>
              <w:tab/>
            </w:r>
            <w:r>
              <w:rPr>
                <w:noProof/>
                <w:webHidden/>
              </w:rPr>
              <w:fldChar w:fldCharType="begin"/>
            </w:r>
            <w:r w:rsidR="00691883">
              <w:rPr>
                <w:noProof/>
                <w:webHidden/>
              </w:rPr>
              <w:instrText xml:space="preserve"> PAGEREF _Toc9940755 \h </w:instrText>
            </w:r>
            <w:r>
              <w:rPr>
                <w:noProof/>
                <w:webHidden/>
              </w:rPr>
            </w:r>
            <w:r>
              <w:rPr>
                <w:noProof/>
                <w:webHidden/>
              </w:rPr>
              <w:fldChar w:fldCharType="separate"/>
            </w:r>
            <w:r w:rsidR="002F588B">
              <w:rPr>
                <w:noProof/>
                <w:webHidden/>
              </w:rPr>
              <w:t>3</w:t>
            </w:r>
            <w:r>
              <w:rPr>
                <w:noProof/>
                <w:webHidden/>
              </w:rPr>
              <w:fldChar w:fldCharType="end"/>
            </w:r>
          </w:hyperlink>
        </w:p>
        <w:p w:rsidR="00691883" w:rsidRDefault="004F209F">
          <w:pPr>
            <w:pStyle w:val="Obsah1"/>
            <w:tabs>
              <w:tab w:val="left" w:pos="660"/>
              <w:tab w:val="right" w:leader="dot" w:pos="9062"/>
            </w:tabs>
            <w:rPr>
              <w:rFonts w:asciiTheme="minorHAnsi" w:eastAsiaTheme="minorEastAsia" w:hAnsiTheme="minorHAnsi" w:cstheme="minorBidi"/>
              <w:noProof/>
              <w:sz w:val="22"/>
              <w:szCs w:val="22"/>
              <w:lang w:val="en-US" w:eastAsia="en-US"/>
            </w:rPr>
          </w:pPr>
          <w:hyperlink w:anchor="_Toc9940756" w:history="1">
            <w:r w:rsidR="00691883" w:rsidRPr="008B002C">
              <w:rPr>
                <w:rStyle w:val="Hypertextovprepojenie"/>
                <w:noProof/>
              </w:rPr>
              <w:t>2.0</w:t>
            </w:r>
            <w:r w:rsidR="00691883">
              <w:rPr>
                <w:rFonts w:asciiTheme="minorHAnsi" w:eastAsiaTheme="minorEastAsia" w:hAnsiTheme="minorHAnsi" w:cstheme="minorBidi"/>
                <w:noProof/>
                <w:sz w:val="22"/>
                <w:szCs w:val="22"/>
                <w:lang w:val="en-US" w:eastAsia="en-US"/>
              </w:rPr>
              <w:tab/>
            </w:r>
            <w:r w:rsidR="00691883" w:rsidRPr="008B002C">
              <w:rPr>
                <w:rStyle w:val="Hypertextovprepojenie"/>
                <w:noProof/>
              </w:rPr>
              <w:t>Data Collection</w:t>
            </w:r>
            <w:r w:rsidR="00691883">
              <w:rPr>
                <w:noProof/>
                <w:webHidden/>
              </w:rPr>
              <w:tab/>
            </w:r>
            <w:r w:rsidR="00F13A0E">
              <w:rPr>
                <w:noProof/>
                <w:webHidden/>
              </w:rPr>
              <w:fldChar w:fldCharType="begin"/>
            </w:r>
            <w:r w:rsidR="00691883">
              <w:rPr>
                <w:noProof/>
                <w:webHidden/>
              </w:rPr>
              <w:instrText xml:space="preserve"> PAGEREF _Toc9940756 \h </w:instrText>
            </w:r>
            <w:r w:rsidR="00F13A0E">
              <w:rPr>
                <w:noProof/>
                <w:webHidden/>
              </w:rPr>
            </w:r>
            <w:r w:rsidR="00F13A0E">
              <w:rPr>
                <w:noProof/>
                <w:webHidden/>
              </w:rPr>
              <w:fldChar w:fldCharType="separate"/>
            </w:r>
            <w:r w:rsidR="002F588B">
              <w:rPr>
                <w:noProof/>
                <w:webHidden/>
              </w:rPr>
              <w:t>4</w:t>
            </w:r>
            <w:r w:rsidR="00F13A0E">
              <w:rPr>
                <w:noProof/>
                <w:webHidden/>
              </w:rPr>
              <w:fldChar w:fldCharType="end"/>
            </w:r>
          </w:hyperlink>
        </w:p>
        <w:p w:rsidR="00691883" w:rsidRDefault="004F209F">
          <w:pPr>
            <w:pStyle w:val="Obsah2"/>
            <w:tabs>
              <w:tab w:val="left" w:pos="880"/>
              <w:tab w:val="right" w:leader="dot" w:pos="9062"/>
            </w:tabs>
            <w:rPr>
              <w:rFonts w:asciiTheme="minorHAnsi" w:eastAsiaTheme="minorEastAsia" w:hAnsiTheme="minorHAnsi" w:cstheme="minorBidi"/>
              <w:noProof/>
              <w:sz w:val="22"/>
              <w:szCs w:val="22"/>
              <w:lang w:val="en-US" w:eastAsia="en-US"/>
            </w:rPr>
          </w:pPr>
          <w:hyperlink w:anchor="_Toc9940757" w:history="1">
            <w:r w:rsidR="00691883" w:rsidRPr="008B002C">
              <w:rPr>
                <w:rStyle w:val="Hypertextovprepojenie"/>
                <w:noProof/>
              </w:rPr>
              <w:t>2.1</w:t>
            </w:r>
            <w:r w:rsidR="00691883">
              <w:rPr>
                <w:rFonts w:asciiTheme="minorHAnsi" w:eastAsiaTheme="minorEastAsia" w:hAnsiTheme="minorHAnsi" w:cstheme="minorBidi"/>
                <w:noProof/>
                <w:sz w:val="22"/>
                <w:szCs w:val="22"/>
                <w:lang w:val="en-US" w:eastAsia="en-US"/>
              </w:rPr>
              <w:tab/>
            </w:r>
            <w:r w:rsidR="00691883" w:rsidRPr="008B002C">
              <w:rPr>
                <w:rStyle w:val="Hypertextovprepojenie"/>
                <w:noProof/>
              </w:rPr>
              <w:t>Terminology</w:t>
            </w:r>
            <w:r w:rsidR="00691883">
              <w:rPr>
                <w:noProof/>
                <w:webHidden/>
              </w:rPr>
              <w:tab/>
            </w:r>
            <w:r w:rsidR="00F13A0E">
              <w:rPr>
                <w:noProof/>
                <w:webHidden/>
              </w:rPr>
              <w:fldChar w:fldCharType="begin"/>
            </w:r>
            <w:r w:rsidR="00691883">
              <w:rPr>
                <w:noProof/>
                <w:webHidden/>
              </w:rPr>
              <w:instrText xml:space="preserve"> PAGEREF _Toc9940757 \h </w:instrText>
            </w:r>
            <w:r w:rsidR="00F13A0E">
              <w:rPr>
                <w:noProof/>
                <w:webHidden/>
              </w:rPr>
            </w:r>
            <w:r w:rsidR="00F13A0E">
              <w:rPr>
                <w:noProof/>
                <w:webHidden/>
              </w:rPr>
              <w:fldChar w:fldCharType="separate"/>
            </w:r>
            <w:r w:rsidR="002F588B">
              <w:rPr>
                <w:noProof/>
                <w:webHidden/>
              </w:rPr>
              <w:t>4</w:t>
            </w:r>
            <w:r w:rsidR="00F13A0E">
              <w:rPr>
                <w:noProof/>
                <w:webHidden/>
              </w:rPr>
              <w:fldChar w:fldCharType="end"/>
            </w:r>
          </w:hyperlink>
        </w:p>
        <w:p w:rsidR="00691883" w:rsidRDefault="004F209F">
          <w:pPr>
            <w:pStyle w:val="Obsah2"/>
            <w:tabs>
              <w:tab w:val="left" w:pos="880"/>
              <w:tab w:val="right" w:leader="dot" w:pos="9062"/>
            </w:tabs>
            <w:rPr>
              <w:rFonts w:asciiTheme="minorHAnsi" w:eastAsiaTheme="minorEastAsia" w:hAnsiTheme="minorHAnsi" w:cstheme="minorBidi"/>
              <w:noProof/>
              <w:sz w:val="22"/>
              <w:szCs w:val="22"/>
              <w:lang w:val="en-US" w:eastAsia="en-US"/>
            </w:rPr>
          </w:pPr>
          <w:hyperlink w:anchor="_Toc9940758" w:history="1">
            <w:r w:rsidR="00691883" w:rsidRPr="008B002C">
              <w:rPr>
                <w:rStyle w:val="Hypertextovprepojenie"/>
                <w:noProof/>
              </w:rPr>
              <w:t>2.2</w:t>
            </w:r>
            <w:r w:rsidR="00691883">
              <w:rPr>
                <w:rFonts w:asciiTheme="minorHAnsi" w:eastAsiaTheme="minorEastAsia" w:hAnsiTheme="minorHAnsi" w:cstheme="minorBidi"/>
                <w:noProof/>
                <w:sz w:val="22"/>
                <w:szCs w:val="22"/>
                <w:lang w:val="en-US" w:eastAsia="en-US"/>
              </w:rPr>
              <w:tab/>
            </w:r>
            <w:r w:rsidR="00691883" w:rsidRPr="008B002C">
              <w:rPr>
                <w:rStyle w:val="Hypertextovprepojenie"/>
                <w:noProof/>
              </w:rPr>
              <w:t>Questions</w:t>
            </w:r>
            <w:r w:rsidR="00691883">
              <w:rPr>
                <w:noProof/>
                <w:webHidden/>
              </w:rPr>
              <w:tab/>
            </w:r>
            <w:r w:rsidR="00F13A0E">
              <w:rPr>
                <w:noProof/>
                <w:webHidden/>
              </w:rPr>
              <w:fldChar w:fldCharType="begin"/>
            </w:r>
            <w:r w:rsidR="00691883">
              <w:rPr>
                <w:noProof/>
                <w:webHidden/>
              </w:rPr>
              <w:instrText xml:space="preserve"> PAGEREF _Toc9940758 \h </w:instrText>
            </w:r>
            <w:r w:rsidR="00F13A0E">
              <w:rPr>
                <w:noProof/>
                <w:webHidden/>
              </w:rPr>
            </w:r>
            <w:r w:rsidR="00F13A0E">
              <w:rPr>
                <w:noProof/>
                <w:webHidden/>
              </w:rPr>
              <w:fldChar w:fldCharType="separate"/>
            </w:r>
            <w:r w:rsidR="002F588B">
              <w:rPr>
                <w:noProof/>
                <w:webHidden/>
              </w:rPr>
              <w:t>5</w:t>
            </w:r>
            <w:r w:rsidR="00F13A0E">
              <w:rPr>
                <w:noProof/>
                <w:webHidden/>
              </w:rPr>
              <w:fldChar w:fldCharType="end"/>
            </w:r>
          </w:hyperlink>
        </w:p>
        <w:p w:rsidR="00691883" w:rsidRDefault="004F209F">
          <w:pPr>
            <w:pStyle w:val="Obsah2"/>
            <w:tabs>
              <w:tab w:val="left" w:pos="880"/>
              <w:tab w:val="right" w:leader="dot" w:pos="9062"/>
            </w:tabs>
            <w:rPr>
              <w:rFonts w:asciiTheme="minorHAnsi" w:eastAsiaTheme="minorEastAsia" w:hAnsiTheme="minorHAnsi" w:cstheme="minorBidi"/>
              <w:noProof/>
              <w:sz w:val="22"/>
              <w:szCs w:val="22"/>
              <w:lang w:val="en-US" w:eastAsia="en-US"/>
            </w:rPr>
          </w:pPr>
          <w:hyperlink w:anchor="_Toc9940759" w:history="1">
            <w:r w:rsidR="00691883" w:rsidRPr="008B002C">
              <w:rPr>
                <w:rStyle w:val="Hypertextovprepojenie"/>
                <w:noProof/>
              </w:rPr>
              <w:t>2.3</w:t>
            </w:r>
            <w:r w:rsidR="00691883">
              <w:rPr>
                <w:rFonts w:asciiTheme="minorHAnsi" w:eastAsiaTheme="minorEastAsia" w:hAnsiTheme="minorHAnsi" w:cstheme="minorBidi"/>
                <w:noProof/>
                <w:sz w:val="22"/>
                <w:szCs w:val="22"/>
                <w:lang w:val="en-US" w:eastAsia="en-US"/>
              </w:rPr>
              <w:tab/>
            </w:r>
            <w:r w:rsidR="00691883" w:rsidRPr="008B002C">
              <w:rPr>
                <w:rStyle w:val="Hypertextovprepojenie"/>
                <w:noProof/>
              </w:rPr>
              <w:t>Desk Research</w:t>
            </w:r>
            <w:r w:rsidR="00691883">
              <w:rPr>
                <w:noProof/>
                <w:webHidden/>
              </w:rPr>
              <w:tab/>
            </w:r>
            <w:r w:rsidR="00F13A0E">
              <w:rPr>
                <w:noProof/>
                <w:webHidden/>
              </w:rPr>
              <w:fldChar w:fldCharType="begin"/>
            </w:r>
            <w:r w:rsidR="00691883">
              <w:rPr>
                <w:noProof/>
                <w:webHidden/>
              </w:rPr>
              <w:instrText xml:space="preserve"> PAGEREF _Toc9940759 \h </w:instrText>
            </w:r>
            <w:r w:rsidR="00F13A0E">
              <w:rPr>
                <w:noProof/>
                <w:webHidden/>
              </w:rPr>
            </w:r>
            <w:r w:rsidR="00F13A0E">
              <w:rPr>
                <w:noProof/>
                <w:webHidden/>
              </w:rPr>
              <w:fldChar w:fldCharType="separate"/>
            </w:r>
            <w:r w:rsidR="002F588B">
              <w:rPr>
                <w:noProof/>
                <w:webHidden/>
              </w:rPr>
              <w:t>5</w:t>
            </w:r>
            <w:r w:rsidR="00F13A0E">
              <w:rPr>
                <w:noProof/>
                <w:webHidden/>
              </w:rPr>
              <w:fldChar w:fldCharType="end"/>
            </w:r>
          </w:hyperlink>
        </w:p>
        <w:p w:rsidR="00691883" w:rsidRDefault="004F209F">
          <w:pPr>
            <w:pStyle w:val="Obsah3"/>
            <w:tabs>
              <w:tab w:val="left" w:pos="1320"/>
              <w:tab w:val="right" w:leader="dot" w:pos="9062"/>
            </w:tabs>
            <w:rPr>
              <w:rFonts w:asciiTheme="minorHAnsi" w:eastAsiaTheme="minorEastAsia" w:hAnsiTheme="minorHAnsi" w:cstheme="minorBidi"/>
              <w:noProof/>
              <w:sz w:val="22"/>
              <w:szCs w:val="22"/>
              <w:lang w:val="en-US" w:eastAsia="en-US"/>
            </w:rPr>
          </w:pPr>
          <w:hyperlink w:anchor="_Toc9940760" w:history="1">
            <w:r w:rsidR="00691883" w:rsidRPr="008B002C">
              <w:rPr>
                <w:rStyle w:val="Hypertextovprepojenie"/>
                <w:noProof/>
              </w:rPr>
              <w:t>2.3.1</w:t>
            </w:r>
            <w:r w:rsidR="00691883">
              <w:rPr>
                <w:rFonts w:asciiTheme="minorHAnsi" w:eastAsiaTheme="minorEastAsia" w:hAnsiTheme="minorHAnsi" w:cstheme="minorBidi"/>
                <w:noProof/>
                <w:sz w:val="22"/>
                <w:szCs w:val="22"/>
                <w:lang w:val="en-US" w:eastAsia="en-US"/>
              </w:rPr>
              <w:tab/>
            </w:r>
            <w:r w:rsidR="00691883" w:rsidRPr="008B002C">
              <w:rPr>
                <w:rStyle w:val="Hypertextovprepojenie"/>
                <w:noProof/>
              </w:rPr>
              <w:t>EU Documents</w:t>
            </w:r>
            <w:r w:rsidR="00691883">
              <w:rPr>
                <w:noProof/>
                <w:webHidden/>
              </w:rPr>
              <w:tab/>
            </w:r>
            <w:r w:rsidR="00F13A0E">
              <w:rPr>
                <w:noProof/>
                <w:webHidden/>
              </w:rPr>
              <w:fldChar w:fldCharType="begin"/>
            </w:r>
            <w:r w:rsidR="00691883">
              <w:rPr>
                <w:noProof/>
                <w:webHidden/>
              </w:rPr>
              <w:instrText xml:space="preserve"> PAGEREF _Toc9940760 \h </w:instrText>
            </w:r>
            <w:r w:rsidR="00F13A0E">
              <w:rPr>
                <w:noProof/>
                <w:webHidden/>
              </w:rPr>
            </w:r>
            <w:r w:rsidR="00F13A0E">
              <w:rPr>
                <w:noProof/>
                <w:webHidden/>
              </w:rPr>
              <w:fldChar w:fldCharType="separate"/>
            </w:r>
            <w:r w:rsidR="002F588B">
              <w:rPr>
                <w:noProof/>
                <w:webHidden/>
              </w:rPr>
              <w:t>5</w:t>
            </w:r>
            <w:r w:rsidR="00F13A0E">
              <w:rPr>
                <w:noProof/>
                <w:webHidden/>
              </w:rPr>
              <w:fldChar w:fldCharType="end"/>
            </w:r>
          </w:hyperlink>
        </w:p>
        <w:p w:rsidR="00691883" w:rsidRDefault="004F209F">
          <w:pPr>
            <w:pStyle w:val="Obsah3"/>
            <w:tabs>
              <w:tab w:val="left" w:pos="1320"/>
              <w:tab w:val="right" w:leader="dot" w:pos="9062"/>
            </w:tabs>
            <w:rPr>
              <w:rFonts w:asciiTheme="minorHAnsi" w:eastAsiaTheme="minorEastAsia" w:hAnsiTheme="minorHAnsi" w:cstheme="minorBidi"/>
              <w:noProof/>
              <w:sz w:val="22"/>
              <w:szCs w:val="22"/>
              <w:lang w:val="en-US" w:eastAsia="en-US"/>
            </w:rPr>
          </w:pPr>
          <w:hyperlink w:anchor="_Toc9940761" w:history="1">
            <w:r w:rsidR="00691883" w:rsidRPr="008B002C">
              <w:rPr>
                <w:rStyle w:val="Hypertextovprepojenie"/>
                <w:noProof/>
              </w:rPr>
              <w:t>2.3.2</w:t>
            </w:r>
            <w:r w:rsidR="00691883">
              <w:rPr>
                <w:rFonts w:asciiTheme="minorHAnsi" w:eastAsiaTheme="minorEastAsia" w:hAnsiTheme="minorHAnsi" w:cstheme="minorBidi"/>
                <w:noProof/>
                <w:sz w:val="22"/>
                <w:szCs w:val="22"/>
                <w:lang w:val="en-US" w:eastAsia="en-US"/>
              </w:rPr>
              <w:tab/>
            </w:r>
            <w:r w:rsidR="00691883" w:rsidRPr="008B002C">
              <w:rPr>
                <w:rStyle w:val="Hypertextovprepojenie"/>
                <w:noProof/>
              </w:rPr>
              <w:t>UNESCO Documents</w:t>
            </w:r>
            <w:r w:rsidR="00691883">
              <w:rPr>
                <w:noProof/>
                <w:webHidden/>
              </w:rPr>
              <w:tab/>
            </w:r>
            <w:r w:rsidR="00F13A0E">
              <w:rPr>
                <w:noProof/>
                <w:webHidden/>
              </w:rPr>
              <w:fldChar w:fldCharType="begin"/>
            </w:r>
            <w:r w:rsidR="00691883">
              <w:rPr>
                <w:noProof/>
                <w:webHidden/>
              </w:rPr>
              <w:instrText xml:space="preserve"> PAGEREF _Toc9940761 \h </w:instrText>
            </w:r>
            <w:r w:rsidR="00F13A0E">
              <w:rPr>
                <w:noProof/>
                <w:webHidden/>
              </w:rPr>
            </w:r>
            <w:r w:rsidR="00F13A0E">
              <w:rPr>
                <w:noProof/>
                <w:webHidden/>
              </w:rPr>
              <w:fldChar w:fldCharType="separate"/>
            </w:r>
            <w:r w:rsidR="002F588B">
              <w:rPr>
                <w:noProof/>
                <w:webHidden/>
              </w:rPr>
              <w:t>6</w:t>
            </w:r>
            <w:r w:rsidR="00F13A0E">
              <w:rPr>
                <w:noProof/>
                <w:webHidden/>
              </w:rPr>
              <w:fldChar w:fldCharType="end"/>
            </w:r>
          </w:hyperlink>
        </w:p>
        <w:p w:rsidR="00691883" w:rsidRDefault="004F209F">
          <w:pPr>
            <w:pStyle w:val="Obsah3"/>
            <w:tabs>
              <w:tab w:val="left" w:pos="1320"/>
              <w:tab w:val="right" w:leader="dot" w:pos="9062"/>
            </w:tabs>
            <w:rPr>
              <w:rFonts w:asciiTheme="minorHAnsi" w:eastAsiaTheme="minorEastAsia" w:hAnsiTheme="minorHAnsi" w:cstheme="minorBidi"/>
              <w:noProof/>
              <w:sz w:val="22"/>
              <w:szCs w:val="22"/>
              <w:lang w:val="en-US" w:eastAsia="en-US"/>
            </w:rPr>
          </w:pPr>
          <w:hyperlink w:anchor="_Toc9940762" w:history="1">
            <w:r w:rsidR="00691883" w:rsidRPr="008B002C">
              <w:rPr>
                <w:rStyle w:val="Hypertextovprepojenie"/>
                <w:noProof/>
              </w:rPr>
              <w:t>2.3.3</w:t>
            </w:r>
            <w:r w:rsidR="00691883">
              <w:rPr>
                <w:rFonts w:asciiTheme="minorHAnsi" w:eastAsiaTheme="minorEastAsia" w:hAnsiTheme="minorHAnsi" w:cstheme="minorBidi"/>
                <w:noProof/>
                <w:sz w:val="22"/>
                <w:szCs w:val="22"/>
                <w:lang w:val="en-US" w:eastAsia="en-US"/>
              </w:rPr>
              <w:tab/>
            </w:r>
            <w:r w:rsidR="00691883" w:rsidRPr="008B002C">
              <w:rPr>
                <w:rStyle w:val="Hypertextovprepojenie"/>
                <w:noProof/>
              </w:rPr>
              <w:t>Estonia</w:t>
            </w:r>
            <w:r w:rsidR="00691883">
              <w:rPr>
                <w:noProof/>
                <w:webHidden/>
              </w:rPr>
              <w:tab/>
            </w:r>
            <w:r w:rsidR="00F13A0E">
              <w:rPr>
                <w:noProof/>
                <w:webHidden/>
              </w:rPr>
              <w:fldChar w:fldCharType="begin"/>
            </w:r>
            <w:r w:rsidR="00691883">
              <w:rPr>
                <w:noProof/>
                <w:webHidden/>
              </w:rPr>
              <w:instrText xml:space="preserve"> PAGEREF _Toc9940762 \h </w:instrText>
            </w:r>
            <w:r w:rsidR="00F13A0E">
              <w:rPr>
                <w:noProof/>
                <w:webHidden/>
              </w:rPr>
            </w:r>
            <w:r w:rsidR="00F13A0E">
              <w:rPr>
                <w:noProof/>
                <w:webHidden/>
              </w:rPr>
              <w:fldChar w:fldCharType="separate"/>
            </w:r>
            <w:r w:rsidR="002F588B">
              <w:rPr>
                <w:noProof/>
                <w:webHidden/>
              </w:rPr>
              <w:t>7</w:t>
            </w:r>
            <w:r w:rsidR="00F13A0E">
              <w:rPr>
                <w:noProof/>
                <w:webHidden/>
              </w:rPr>
              <w:fldChar w:fldCharType="end"/>
            </w:r>
          </w:hyperlink>
        </w:p>
        <w:p w:rsidR="00691883" w:rsidRDefault="004F209F">
          <w:pPr>
            <w:pStyle w:val="Obsah3"/>
            <w:tabs>
              <w:tab w:val="left" w:pos="1320"/>
              <w:tab w:val="right" w:leader="dot" w:pos="9062"/>
            </w:tabs>
            <w:rPr>
              <w:rFonts w:asciiTheme="minorHAnsi" w:eastAsiaTheme="minorEastAsia" w:hAnsiTheme="minorHAnsi" w:cstheme="minorBidi"/>
              <w:noProof/>
              <w:sz w:val="22"/>
              <w:szCs w:val="22"/>
              <w:lang w:val="en-US" w:eastAsia="en-US"/>
            </w:rPr>
          </w:pPr>
          <w:hyperlink w:anchor="_Toc9940763" w:history="1">
            <w:r w:rsidR="00691883" w:rsidRPr="008B002C">
              <w:rPr>
                <w:rStyle w:val="Hypertextovprepojenie"/>
                <w:noProof/>
              </w:rPr>
              <w:t>2.3.4</w:t>
            </w:r>
            <w:r w:rsidR="00691883">
              <w:rPr>
                <w:rFonts w:asciiTheme="minorHAnsi" w:eastAsiaTheme="minorEastAsia" w:hAnsiTheme="minorHAnsi" w:cstheme="minorBidi"/>
                <w:noProof/>
                <w:sz w:val="22"/>
                <w:szCs w:val="22"/>
                <w:lang w:val="en-US" w:eastAsia="en-US"/>
              </w:rPr>
              <w:tab/>
            </w:r>
            <w:r w:rsidR="00691883" w:rsidRPr="008B002C">
              <w:rPr>
                <w:rStyle w:val="Hypertextovprepojenie"/>
                <w:noProof/>
              </w:rPr>
              <w:t>Slovenia</w:t>
            </w:r>
            <w:r w:rsidR="00691883">
              <w:rPr>
                <w:noProof/>
                <w:webHidden/>
              </w:rPr>
              <w:tab/>
            </w:r>
            <w:r w:rsidR="00F13A0E">
              <w:rPr>
                <w:noProof/>
                <w:webHidden/>
              </w:rPr>
              <w:fldChar w:fldCharType="begin"/>
            </w:r>
            <w:r w:rsidR="00691883">
              <w:rPr>
                <w:noProof/>
                <w:webHidden/>
              </w:rPr>
              <w:instrText xml:space="preserve"> PAGEREF _Toc9940763 \h </w:instrText>
            </w:r>
            <w:r w:rsidR="00F13A0E">
              <w:rPr>
                <w:noProof/>
                <w:webHidden/>
              </w:rPr>
            </w:r>
            <w:r w:rsidR="00F13A0E">
              <w:rPr>
                <w:noProof/>
                <w:webHidden/>
              </w:rPr>
              <w:fldChar w:fldCharType="separate"/>
            </w:r>
            <w:r w:rsidR="002F588B">
              <w:rPr>
                <w:noProof/>
                <w:webHidden/>
              </w:rPr>
              <w:t>7</w:t>
            </w:r>
            <w:r w:rsidR="00F13A0E">
              <w:rPr>
                <w:noProof/>
                <w:webHidden/>
              </w:rPr>
              <w:fldChar w:fldCharType="end"/>
            </w:r>
          </w:hyperlink>
        </w:p>
        <w:p w:rsidR="00691883" w:rsidRDefault="004F209F">
          <w:pPr>
            <w:pStyle w:val="Obsah3"/>
            <w:tabs>
              <w:tab w:val="left" w:pos="1320"/>
              <w:tab w:val="right" w:leader="dot" w:pos="9062"/>
            </w:tabs>
            <w:rPr>
              <w:rFonts w:asciiTheme="minorHAnsi" w:eastAsiaTheme="minorEastAsia" w:hAnsiTheme="minorHAnsi" w:cstheme="minorBidi"/>
              <w:noProof/>
              <w:sz w:val="22"/>
              <w:szCs w:val="22"/>
              <w:lang w:val="en-US" w:eastAsia="en-US"/>
            </w:rPr>
          </w:pPr>
          <w:hyperlink w:anchor="_Toc9940764" w:history="1">
            <w:r w:rsidR="00691883" w:rsidRPr="008B002C">
              <w:rPr>
                <w:rStyle w:val="Hypertextovprepojenie"/>
                <w:noProof/>
              </w:rPr>
              <w:t>2.3.5</w:t>
            </w:r>
            <w:r w:rsidR="00691883">
              <w:rPr>
                <w:rFonts w:asciiTheme="minorHAnsi" w:eastAsiaTheme="minorEastAsia" w:hAnsiTheme="minorHAnsi" w:cstheme="minorBidi"/>
                <w:noProof/>
                <w:sz w:val="22"/>
                <w:szCs w:val="22"/>
                <w:lang w:val="en-US" w:eastAsia="en-US"/>
              </w:rPr>
              <w:tab/>
            </w:r>
            <w:r w:rsidR="00691883" w:rsidRPr="008B002C">
              <w:rPr>
                <w:rStyle w:val="Hypertextovprepojenie"/>
                <w:noProof/>
              </w:rPr>
              <w:t>SK Documents on Adult Education</w:t>
            </w:r>
            <w:r w:rsidR="00691883">
              <w:rPr>
                <w:noProof/>
                <w:webHidden/>
              </w:rPr>
              <w:tab/>
            </w:r>
            <w:r w:rsidR="00F13A0E">
              <w:rPr>
                <w:noProof/>
                <w:webHidden/>
              </w:rPr>
              <w:fldChar w:fldCharType="begin"/>
            </w:r>
            <w:r w:rsidR="00691883">
              <w:rPr>
                <w:noProof/>
                <w:webHidden/>
              </w:rPr>
              <w:instrText xml:space="preserve"> PAGEREF _Toc9940764 \h </w:instrText>
            </w:r>
            <w:r w:rsidR="00F13A0E">
              <w:rPr>
                <w:noProof/>
                <w:webHidden/>
              </w:rPr>
            </w:r>
            <w:r w:rsidR="00F13A0E">
              <w:rPr>
                <w:noProof/>
                <w:webHidden/>
              </w:rPr>
              <w:fldChar w:fldCharType="separate"/>
            </w:r>
            <w:r w:rsidR="002F588B">
              <w:rPr>
                <w:noProof/>
                <w:webHidden/>
              </w:rPr>
              <w:t>8</w:t>
            </w:r>
            <w:r w:rsidR="00F13A0E">
              <w:rPr>
                <w:noProof/>
                <w:webHidden/>
              </w:rPr>
              <w:fldChar w:fldCharType="end"/>
            </w:r>
          </w:hyperlink>
        </w:p>
        <w:p w:rsidR="00691883" w:rsidRDefault="004F209F">
          <w:pPr>
            <w:pStyle w:val="Obsah3"/>
            <w:tabs>
              <w:tab w:val="left" w:pos="1320"/>
              <w:tab w:val="right" w:leader="dot" w:pos="9062"/>
            </w:tabs>
            <w:rPr>
              <w:rFonts w:asciiTheme="minorHAnsi" w:eastAsiaTheme="minorEastAsia" w:hAnsiTheme="minorHAnsi" w:cstheme="minorBidi"/>
              <w:noProof/>
              <w:sz w:val="22"/>
              <w:szCs w:val="22"/>
              <w:lang w:val="en-US" w:eastAsia="en-US"/>
            </w:rPr>
          </w:pPr>
          <w:hyperlink w:anchor="_Toc9940765" w:history="1">
            <w:r w:rsidR="00691883" w:rsidRPr="008B002C">
              <w:rPr>
                <w:rStyle w:val="Hypertextovprepojenie"/>
                <w:noProof/>
              </w:rPr>
              <w:t>2.3.6</w:t>
            </w:r>
            <w:r w:rsidR="00691883">
              <w:rPr>
                <w:rFonts w:asciiTheme="minorHAnsi" w:eastAsiaTheme="minorEastAsia" w:hAnsiTheme="minorHAnsi" w:cstheme="minorBidi"/>
                <w:noProof/>
                <w:sz w:val="22"/>
                <w:szCs w:val="22"/>
                <w:lang w:val="en-US" w:eastAsia="en-US"/>
              </w:rPr>
              <w:tab/>
            </w:r>
            <w:r w:rsidR="00691883" w:rsidRPr="008B002C">
              <w:rPr>
                <w:rStyle w:val="Hypertextovprepojenie"/>
                <w:noProof/>
              </w:rPr>
              <w:t>Related Projects</w:t>
            </w:r>
            <w:r w:rsidR="00691883">
              <w:rPr>
                <w:noProof/>
                <w:webHidden/>
              </w:rPr>
              <w:tab/>
            </w:r>
            <w:r w:rsidR="00F13A0E">
              <w:rPr>
                <w:noProof/>
                <w:webHidden/>
              </w:rPr>
              <w:fldChar w:fldCharType="begin"/>
            </w:r>
            <w:r w:rsidR="00691883">
              <w:rPr>
                <w:noProof/>
                <w:webHidden/>
              </w:rPr>
              <w:instrText xml:space="preserve"> PAGEREF _Toc9940765 \h </w:instrText>
            </w:r>
            <w:r w:rsidR="00F13A0E">
              <w:rPr>
                <w:noProof/>
                <w:webHidden/>
              </w:rPr>
            </w:r>
            <w:r w:rsidR="00F13A0E">
              <w:rPr>
                <w:noProof/>
                <w:webHidden/>
              </w:rPr>
              <w:fldChar w:fldCharType="separate"/>
            </w:r>
            <w:r w:rsidR="002F588B">
              <w:rPr>
                <w:noProof/>
                <w:webHidden/>
              </w:rPr>
              <w:t>8</w:t>
            </w:r>
            <w:r w:rsidR="00F13A0E">
              <w:rPr>
                <w:noProof/>
                <w:webHidden/>
              </w:rPr>
              <w:fldChar w:fldCharType="end"/>
            </w:r>
          </w:hyperlink>
        </w:p>
        <w:p w:rsidR="00691883" w:rsidRDefault="004F209F">
          <w:pPr>
            <w:pStyle w:val="Obsah3"/>
            <w:tabs>
              <w:tab w:val="left" w:pos="1320"/>
              <w:tab w:val="right" w:leader="dot" w:pos="9062"/>
            </w:tabs>
            <w:rPr>
              <w:rFonts w:asciiTheme="minorHAnsi" w:eastAsiaTheme="minorEastAsia" w:hAnsiTheme="minorHAnsi" w:cstheme="minorBidi"/>
              <w:noProof/>
              <w:sz w:val="22"/>
              <w:szCs w:val="22"/>
              <w:lang w:val="en-US" w:eastAsia="en-US"/>
            </w:rPr>
          </w:pPr>
          <w:hyperlink w:anchor="_Toc9940766" w:history="1">
            <w:r w:rsidR="00691883" w:rsidRPr="008B002C">
              <w:rPr>
                <w:rStyle w:val="Hypertextovprepojenie"/>
                <w:noProof/>
              </w:rPr>
              <w:t>2.3.7</w:t>
            </w:r>
            <w:r w:rsidR="00691883">
              <w:rPr>
                <w:rFonts w:asciiTheme="minorHAnsi" w:eastAsiaTheme="minorEastAsia" w:hAnsiTheme="minorHAnsi" w:cstheme="minorBidi"/>
                <w:noProof/>
                <w:sz w:val="22"/>
                <w:szCs w:val="22"/>
                <w:lang w:val="en-US" w:eastAsia="en-US"/>
              </w:rPr>
              <w:tab/>
            </w:r>
            <w:r w:rsidR="00691883" w:rsidRPr="008B002C">
              <w:rPr>
                <w:rStyle w:val="Hypertextovprepojenie"/>
                <w:noProof/>
              </w:rPr>
              <w:t>Statistics</w:t>
            </w:r>
            <w:r w:rsidR="00691883">
              <w:rPr>
                <w:noProof/>
                <w:webHidden/>
              </w:rPr>
              <w:tab/>
            </w:r>
            <w:r w:rsidR="00F13A0E">
              <w:rPr>
                <w:noProof/>
                <w:webHidden/>
              </w:rPr>
              <w:fldChar w:fldCharType="begin"/>
            </w:r>
            <w:r w:rsidR="00691883">
              <w:rPr>
                <w:noProof/>
                <w:webHidden/>
              </w:rPr>
              <w:instrText xml:space="preserve"> PAGEREF _Toc9940766 \h </w:instrText>
            </w:r>
            <w:r w:rsidR="00F13A0E">
              <w:rPr>
                <w:noProof/>
                <w:webHidden/>
              </w:rPr>
            </w:r>
            <w:r w:rsidR="00F13A0E">
              <w:rPr>
                <w:noProof/>
                <w:webHidden/>
              </w:rPr>
              <w:fldChar w:fldCharType="separate"/>
            </w:r>
            <w:r w:rsidR="002F588B">
              <w:rPr>
                <w:noProof/>
                <w:webHidden/>
              </w:rPr>
              <w:t>9</w:t>
            </w:r>
            <w:r w:rsidR="00F13A0E">
              <w:rPr>
                <w:noProof/>
                <w:webHidden/>
              </w:rPr>
              <w:fldChar w:fldCharType="end"/>
            </w:r>
          </w:hyperlink>
        </w:p>
        <w:p w:rsidR="00691883" w:rsidRDefault="004F209F">
          <w:pPr>
            <w:pStyle w:val="Obsah3"/>
            <w:tabs>
              <w:tab w:val="left" w:pos="1320"/>
              <w:tab w:val="right" w:leader="dot" w:pos="9062"/>
            </w:tabs>
            <w:rPr>
              <w:rFonts w:asciiTheme="minorHAnsi" w:eastAsiaTheme="minorEastAsia" w:hAnsiTheme="minorHAnsi" w:cstheme="minorBidi"/>
              <w:noProof/>
              <w:sz w:val="22"/>
              <w:szCs w:val="22"/>
              <w:lang w:val="en-US" w:eastAsia="en-US"/>
            </w:rPr>
          </w:pPr>
          <w:hyperlink w:anchor="_Toc9940767" w:history="1">
            <w:r w:rsidR="00691883" w:rsidRPr="008B002C">
              <w:rPr>
                <w:rStyle w:val="Hypertextovprepojenie"/>
                <w:noProof/>
              </w:rPr>
              <w:t>2.3.8</w:t>
            </w:r>
            <w:r w:rsidR="00691883">
              <w:rPr>
                <w:rFonts w:asciiTheme="minorHAnsi" w:eastAsiaTheme="minorEastAsia" w:hAnsiTheme="minorHAnsi" w:cstheme="minorBidi"/>
                <w:noProof/>
                <w:sz w:val="22"/>
                <w:szCs w:val="22"/>
                <w:lang w:val="en-US" w:eastAsia="en-US"/>
              </w:rPr>
              <w:tab/>
            </w:r>
            <w:r w:rsidR="00691883" w:rsidRPr="008B002C">
              <w:rPr>
                <w:rStyle w:val="Hypertextovprepojenie"/>
                <w:noProof/>
              </w:rPr>
              <w:t>Findings on selected topics</w:t>
            </w:r>
            <w:r w:rsidR="00691883">
              <w:rPr>
                <w:noProof/>
                <w:webHidden/>
              </w:rPr>
              <w:tab/>
            </w:r>
            <w:r w:rsidR="00F13A0E">
              <w:rPr>
                <w:noProof/>
                <w:webHidden/>
              </w:rPr>
              <w:fldChar w:fldCharType="begin"/>
            </w:r>
            <w:r w:rsidR="00691883">
              <w:rPr>
                <w:noProof/>
                <w:webHidden/>
              </w:rPr>
              <w:instrText xml:space="preserve"> PAGEREF _Toc9940767 \h </w:instrText>
            </w:r>
            <w:r w:rsidR="00F13A0E">
              <w:rPr>
                <w:noProof/>
                <w:webHidden/>
              </w:rPr>
            </w:r>
            <w:r w:rsidR="00F13A0E">
              <w:rPr>
                <w:noProof/>
                <w:webHidden/>
              </w:rPr>
              <w:fldChar w:fldCharType="separate"/>
            </w:r>
            <w:r w:rsidR="002F588B">
              <w:rPr>
                <w:noProof/>
                <w:webHidden/>
              </w:rPr>
              <w:t>9</w:t>
            </w:r>
            <w:r w:rsidR="00F13A0E">
              <w:rPr>
                <w:noProof/>
                <w:webHidden/>
              </w:rPr>
              <w:fldChar w:fldCharType="end"/>
            </w:r>
          </w:hyperlink>
        </w:p>
        <w:p w:rsidR="00691883" w:rsidRDefault="004F209F">
          <w:pPr>
            <w:pStyle w:val="Obsah2"/>
            <w:tabs>
              <w:tab w:val="left" w:pos="880"/>
              <w:tab w:val="right" w:leader="dot" w:pos="9062"/>
            </w:tabs>
            <w:rPr>
              <w:rFonts w:asciiTheme="minorHAnsi" w:eastAsiaTheme="minorEastAsia" w:hAnsiTheme="minorHAnsi" w:cstheme="minorBidi"/>
              <w:noProof/>
              <w:sz w:val="22"/>
              <w:szCs w:val="22"/>
              <w:lang w:val="en-US" w:eastAsia="en-US"/>
            </w:rPr>
          </w:pPr>
          <w:hyperlink w:anchor="_Toc9940768" w:history="1">
            <w:r w:rsidR="00691883" w:rsidRPr="008B002C">
              <w:rPr>
                <w:rStyle w:val="Hypertextovprepojenie"/>
                <w:noProof/>
              </w:rPr>
              <w:t>2.4</w:t>
            </w:r>
            <w:r w:rsidR="00691883">
              <w:rPr>
                <w:rFonts w:asciiTheme="minorHAnsi" w:eastAsiaTheme="minorEastAsia" w:hAnsiTheme="minorHAnsi" w:cstheme="minorBidi"/>
                <w:noProof/>
                <w:sz w:val="22"/>
                <w:szCs w:val="22"/>
                <w:lang w:val="en-US" w:eastAsia="en-US"/>
              </w:rPr>
              <w:tab/>
            </w:r>
            <w:r w:rsidR="00691883" w:rsidRPr="008B002C">
              <w:rPr>
                <w:rStyle w:val="Hypertextovprepojenie"/>
                <w:noProof/>
              </w:rPr>
              <w:t>Primary Research</w:t>
            </w:r>
            <w:r w:rsidR="00691883">
              <w:rPr>
                <w:noProof/>
                <w:webHidden/>
              </w:rPr>
              <w:tab/>
            </w:r>
            <w:r w:rsidR="00F13A0E">
              <w:rPr>
                <w:noProof/>
                <w:webHidden/>
              </w:rPr>
              <w:fldChar w:fldCharType="begin"/>
            </w:r>
            <w:r w:rsidR="00691883">
              <w:rPr>
                <w:noProof/>
                <w:webHidden/>
              </w:rPr>
              <w:instrText xml:space="preserve"> PAGEREF _Toc9940768 \h </w:instrText>
            </w:r>
            <w:r w:rsidR="00F13A0E">
              <w:rPr>
                <w:noProof/>
                <w:webHidden/>
              </w:rPr>
            </w:r>
            <w:r w:rsidR="00F13A0E">
              <w:rPr>
                <w:noProof/>
                <w:webHidden/>
              </w:rPr>
              <w:fldChar w:fldCharType="separate"/>
            </w:r>
            <w:r w:rsidR="002F588B">
              <w:rPr>
                <w:noProof/>
                <w:webHidden/>
              </w:rPr>
              <w:t>11</w:t>
            </w:r>
            <w:r w:rsidR="00F13A0E">
              <w:rPr>
                <w:noProof/>
                <w:webHidden/>
              </w:rPr>
              <w:fldChar w:fldCharType="end"/>
            </w:r>
          </w:hyperlink>
        </w:p>
        <w:p w:rsidR="00691883" w:rsidRDefault="004F209F">
          <w:pPr>
            <w:pStyle w:val="Obsah3"/>
            <w:tabs>
              <w:tab w:val="left" w:pos="1320"/>
              <w:tab w:val="right" w:leader="dot" w:pos="9062"/>
            </w:tabs>
            <w:rPr>
              <w:rFonts w:asciiTheme="minorHAnsi" w:eastAsiaTheme="minorEastAsia" w:hAnsiTheme="minorHAnsi" w:cstheme="minorBidi"/>
              <w:noProof/>
              <w:sz w:val="22"/>
              <w:szCs w:val="22"/>
              <w:lang w:val="en-US" w:eastAsia="en-US"/>
            </w:rPr>
          </w:pPr>
          <w:hyperlink w:anchor="_Toc9940769" w:history="1">
            <w:r w:rsidR="00691883" w:rsidRPr="008B002C">
              <w:rPr>
                <w:rStyle w:val="Hypertextovprepojenie"/>
                <w:noProof/>
              </w:rPr>
              <w:t>2.4.1</w:t>
            </w:r>
            <w:r w:rsidR="00691883">
              <w:rPr>
                <w:rFonts w:asciiTheme="minorHAnsi" w:eastAsiaTheme="minorEastAsia" w:hAnsiTheme="minorHAnsi" w:cstheme="minorBidi"/>
                <w:noProof/>
                <w:sz w:val="22"/>
                <w:szCs w:val="22"/>
                <w:lang w:val="en-US" w:eastAsia="en-US"/>
              </w:rPr>
              <w:tab/>
            </w:r>
            <w:r w:rsidR="00691883" w:rsidRPr="008B002C">
              <w:rPr>
                <w:rStyle w:val="Hypertextovprepojenie"/>
                <w:noProof/>
              </w:rPr>
              <w:t>Findings from the regions and towns</w:t>
            </w:r>
            <w:r w:rsidR="00691883">
              <w:rPr>
                <w:noProof/>
                <w:webHidden/>
              </w:rPr>
              <w:tab/>
            </w:r>
            <w:r w:rsidR="00F13A0E">
              <w:rPr>
                <w:noProof/>
                <w:webHidden/>
              </w:rPr>
              <w:fldChar w:fldCharType="begin"/>
            </w:r>
            <w:r w:rsidR="00691883">
              <w:rPr>
                <w:noProof/>
                <w:webHidden/>
              </w:rPr>
              <w:instrText xml:space="preserve"> PAGEREF _Toc9940769 \h </w:instrText>
            </w:r>
            <w:r w:rsidR="00F13A0E">
              <w:rPr>
                <w:noProof/>
                <w:webHidden/>
              </w:rPr>
            </w:r>
            <w:r w:rsidR="00F13A0E">
              <w:rPr>
                <w:noProof/>
                <w:webHidden/>
              </w:rPr>
              <w:fldChar w:fldCharType="separate"/>
            </w:r>
            <w:r w:rsidR="002F588B">
              <w:rPr>
                <w:noProof/>
                <w:webHidden/>
              </w:rPr>
              <w:t>12</w:t>
            </w:r>
            <w:r w:rsidR="00F13A0E">
              <w:rPr>
                <w:noProof/>
                <w:webHidden/>
              </w:rPr>
              <w:fldChar w:fldCharType="end"/>
            </w:r>
          </w:hyperlink>
        </w:p>
        <w:p w:rsidR="00691883" w:rsidRDefault="004F209F">
          <w:pPr>
            <w:pStyle w:val="Obsah3"/>
            <w:tabs>
              <w:tab w:val="left" w:pos="1320"/>
              <w:tab w:val="right" w:leader="dot" w:pos="9062"/>
            </w:tabs>
            <w:rPr>
              <w:rFonts w:asciiTheme="minorHAnsi" w:eastAsiaTheme="minorEastAsia" w:hAnsiTheme="minorHAnsi" w:cstheme="minorBidi"/>
              <w:noProof/>
              <w:sz w:val="22"/>
              <w:szCs w:val="22"/>
              <w:lang w:val="en-US" w:eastAsia="en-US"/>
            </w:rPr>
          </w:pPr>
          <w:hyperlink w:anchor="_Toc9940770" w:history="1">
            <w:r w:rsidR="00691883" w:rsidRPr="008B002C">
              <w:rPr>
                <w:rStyle w:val="Hypertextovprepojenie"/>
                <w:noProof/>
              </w:rPr>
              <w:t>2.4.2</w:t>
            </w:r>
            <w:r w:rsidR="00691883">
              <w:rPr>
                <w:rFonts w:asciiTheme="minorHAnsi" w:eastAsiaTheme="minorEastAsia" w:hAnsiTheme="minorHAnsi" w:cstheme="minorBidi"/>
                <w:noProof/>
                <w:sz w:val="22"/>
                <w:szCs w:val="22"/>
                <w:lang w:val="en-US" w:eastAsia="en-US"/>
              </w:rPr>
              <w:tab/>
            </w:r>
            <w:r w:rsidR="00691883" w:rsidRPr="008B002C">
              <w:rPr>
                <w:rStyle w:val="Hypertextovprepojenie"/>
                <w:noProof/>
              </w:rPr>
              <w:t>Findings from various AE providers</w:t>
            </w:r>
            <w:r w:rsidR="00691883">
              <w:rPr>
                <w:noProof/>
                <w:webHidden/>
              </w:rPr>
              <w:tab/>
            </w:r>
            <w:r w:rsidR="00F13A0E">
              <w:rPr>
                <w:noProof/>
                <w:webHidden/>
              </w:rPr>
              <w:fldChar w:fldCharType="begin"/>
            </w:r>
            <w:r w:rsidR="00691883">
              <w:rPr>
                <w:noProof/>
                <w:webHidden/>
              </w:rPr>
              <w:instrText xml:space="preserve"> PAGEREF _Toc9940770 \h </w:instrText>
            </w:r>
            <w:r w:rsidR="00F13A0E">
              <w:rPr>
                <w:noProof/>
                <w:webHidden/>
              </w:rPr>
            </w:r>
            <w:r w:rsidR="00F13A0E">
              <w:rPr>
                <w:noProof/>
                <w:webHidden/>
              </w:rPr>
              <w:fldChar w:fldCharType="separate"/>
            </w:r>
            <w:r w:rsidR="002F588B">
              <w:rPr>
                <w:noProof/>
                <w:webHidden/>
              </w:rPr>
              <w:t>13</w:t>
            </w:r>
            <w:r w:rsidR="00F13A0E">
              <w:rPr>
                <w:noProof/>
                <w:webHidden/>
              </w:rPr>
              <w:fldChar w:fldCharType="end"/>
            </w:r>
          </w:hyperlink>
        </w:p>
        <w:p w:rsidR="00691883" w:rsidRDefault="004F209F">
          <w:pPr>
            <w:pStyle w:val="Obsah2"/>
            <w:tabs>
              <w:tab w:val="left" w:pos="880"/>
              <w:tab w:val="right" w:leader="dot" w:pos="9062"/>
            </w:tabs>
            <w:rPr>
              <w:rFonts w:asciiTheme="minorHAnsi" w:eastAsiaTheme="minorEastAsia" w:hAnsiTheme="minorHAnsi" w:cstheme="minorBidi"/>
              <w:noProof/>
              <w:sz w:val="22"/>
              <w:szCs w:val="22"/>
              <w:lang w:val="en-US" w:eastAsia="en-US"/>
            </w:rPr>
          </w:pPr>
          <w:hyperlink w:anchor="_Toc9940771" w:history="1">
            <w:r w:rsidR="00691883" w:rsidRPr="008B002C">
              <w:rPr>
                <w:rStyle w:val="Hypertextovprepojenie"/>
                <w:noProof/>
              </w:rPr>
              <w:t>2.5</w:t>
            </w:r>
            <w:r w:rsidR="00691883">
              <w:rPr>
                <w:rFonts w:asciiTheme="minorHAnsi" w:eastAsiaTheme="minorEastAsia" w:hAnsiTheme="minorHAnsi" w:cstheme="minorBidi"/>
                <w:noProof/>
                <w:sz w:val="22"/>
                <w:szCs w:val="22"/>
                <w:lang w:val="en-US" w:eastAsia="en-US"/>
              </w:rPr>
              <w:tab/>
            </w:r>
            <w:r w:rsidR="00691883" w:rsidRPr="008B002C">
              <w:rPr>
                <w:rStyle w:val="Hypertextovprepojenie"/>
                <w:noProof/>
              </w:rPr>
              <w:t>Career guidance and counselling</w:t>
            </w:r>
            <w:r w:rsidR="00691883">
              <w:rPr>
                <w:noProof/>
                <w:webHidden/>
              </w:rPr>
              <w:tab/>
            </w:r>
            <w:r w:rsidR="00F13A0E">
              <w:rPr>
                <w:noProof/>
                <w:webHidden/>
              </w:rPr>
              <w:fldChar w:fldCharType="begin"/>
            </w:r>
            <w:r w:rsidR="00691883">
              <w:rPr>
                <w:noProof/>
                <w:webHidden/>
              </w:rPr>
              <w:instrText xml:space="preserve"> PAGEREF _Toc9940771 \h </w:instrText>
            </w:r>
            <w:r w:rsidR="00F13A0E">
              <w:rPr>
                <w:noProof/>
                <w:webHidden/>
              </w:rPr>
            </w:r>
            <w:r w:rsidR="00F13A0E">
              <w:rPr>
                <w:noProof/>
                <w:webHidden/>
              </w:rPr>
              <w:fldChar w:fldCharType="separate"/>
            </w:r>
            <w:r w:rsidR="002F588B">
              <w:rPr>
                <w:noProof/>
                <w:webHidden/>
              </w:rPr>
              <w:t>15</w:t>
            </w:r>
            <w:r w:rsidR="00F13A0E">
              <w:rPr>
                <w:noProof/>
                <w:webHidden/>
              </w:rPr>
              <w:fldChar w:fldCharType="end"/>
            </w:r>
          </w:hyperlink>
        </w:p>
        <w:p w:rsidR="00691883" w:rsidRDefault="004F209F">
          <w:pPr>
            <w:pStyle w:val="Obsah1"/>
            <w:tabs>
              <w:tab w:val="left" w:pos="660"/>
              <w:tab w:val="right" w:leader="dot" w:pos="9062"/>
            </w:tabs>
            <w:rPr>
              <w:rFonts w:asciiTheme="minorHAnsi" w:eastAsiaTheme="minorEastAsia" w:hAnsiTheme="minorHAnsi" w:cstheme="minorBidi"/>
              <w:noProof/>
              <w:sz w:val="22"/>
              <w:szCs w:val="22"/>
              <w:lang w:val="en-US" w:eastAsia="en-US"/>
            </w:rPr>
          </w:pPr>
          <w:hyperlink w:anchor="_Toc9940772" w:history="1">
            <w:r w:rsidR="00691883" w:rsidRPr="008B002C">
              <w:rPr>
                <w:rStyle w:val="Hypertextovprepojenie"/>
                <w:noProof/>
              </w:rPr>
              <w:t>3.0</w:t>
            </w:r>
            <w:r w:rsidR="00691883">
              <w:rPr>
                <w:rFonts w:asciiTheme="minorHAnsi" w:eastAsiaTheme="minorEastAsia" w:hAnsiTheme="minorHAnsi" w:cstheme="minorBidi"/>
                <w:noProof/>
                <w:sz w:val="22"/>
                <w:szCs w:val="22"/>
                <w:lang w:val="en-US" w:eastAsia="en-US"/>
              </w:rPr>
              <w:tab/>
            </w:r>
            <w:r w:rsidR="00691883" w:rsidRPr="008B002C">
              <w:rPr>
                <w:rStyle w:val="Hypertextovprepojenie"/>
                <w:noProof/>
              </w:rPr>
              <w:t>Conclusions</w:t>
            </w:r>
            <w:r w:rsidR="00691883">
              <w:rPr>
                <w:noProof/>
                <w:webHidden/>
              </w:rPr>
              <w:tab/>
            </w:r>
            <w:r w:rsidR="00F13A0E">
              <w:rPr>
                <w:noProof/>
                <w:webHidden/>
              </w:rPr>
              <w:fldChar w:fldCharType="begin"/>
            </w:r>
            <w:r w:rsidR="00691883">
              <w:rPr>
                <w:noProof/>
                <w:webHidden/>
              </w:rPr>
              <w:instrText xml:space="preserve"> PAGEREF _Toc9940772 \h </w:instrText>
            </w:r>
            <w:r w:rsidR="00F13A0E">
              <w:rPr>
                <w:noProof/>
                <w:webHidden/>
              </w:rPr>
            </w:r>
            <w:r w:rsidR="00F13A0E">
              <w:rPr>
                <w:noProof/>
                <w:webHidden/>
              </w:rPr>
              <w:fldChar w:fldCharType="separate"/>
            </w:r>
            <w:r w:rsidR="002F588B">
              <w:rPr>
                <w:noProof/>
                <w:webHidden/>
              </w:rPr>
              <w:t>16</w:t>
            </w:r>
            <w:r w:rsidR="00F13A0E">
              <w:rPr>
                <w:noProof/>
                <w:webHidden/>
              </w:rPr>
              <w:fldChar w:fldCharType="end"/>
            </w:r>
          </w:hyperlink>
        </w:p>
        <w:p w:rsidR="00DC2515" w:rsidRDefault="00F13A0E">
          <w:r>
            <w:rPr>
              <w:b/>
              <w:bCs/>
            </w:rPr>
            <w:fldChar w:fldCharType="end"/>
          </w:r>
        </w:p>
      </w:sdtContent>
    </w:sdt>
    <w:p w:rsidR="00DC2515" w:rsidRPr="00A8589E" w:rsidRDefault="00DC2515" w:rsidP="00554053">
      <w:pPr>
        <w:pStyle w:val="Zkladntext"/>
        <w:ind w:right="551"/>
        <w:rPr>
          <w:rFonts w:cs="Arial"/>
          <w:spacing w:val="12"/>
          <w:sz w:val="22"/>
          <w:szCs w:val="22"/>
        </w:rPr>
      </w:pPr>
    </w:p>
    <w:p w:rsidR="00A942E5" w:rsidRPr="00A8589E" w:rsidRDefault="00A942E5" w:rsidP="00554053">
      <w:pPr>
        <w:pStyle w:val="Nadpis1"/>
      </w:pPr>
      <w:bookmarkStart w:id="1" w:name="_Toc9940755"/>
      <w:r w:rsidRPr="00A8589E">
        <w:lastRenderedPageBreak/>
        <w:t>Introduction</w:t>
      </w:r>
      <w:bookmarkEnd w:id="1"/>
    </w:p>
    <w:p w:rsidR="00A942E5" w:rsidRPr="00691883" w:rsidRDefault="00A942E5" w:rsidP="00691883">
      <w:pPr>
        <w:pStyle w:val="Zkladntext"/>
        <w:ind w:right="-18"/>
        <w:rPr>
          <w:rFonts w:cs="Arial"/>
          <w:sz w:val="22"/>
          <w:lang w:val="sk-SK" w:eastAsia="sk-SK"/>
        </w:rPr>
      </w:pPr>
      <w:r w:rsidRPr="00691883">
        <w:rPr>
          <w:rFonts w:cs="Arial"/>
          <w:sz w:val="22"/>
          <w:lang w:val="sk-SK" w:eastAsia="sk-SK"/>
        </w:rPr>
        <w:t>In this phase we have mapped the adult education ecosystem in Slovakia. Mapping was realised in the regions</w:t>
      </w:r>
      <w:r w:rsidR="000C63B5" w:rsidRPr="000C63B5">
        <w:rPr>
          <w:rFonts w:cs="Arial"/>
          <w:sz w:val="22"/>
          <w:lang w:val="sk-SK" w:eastAsia="sk-SK"/>
        </w:rPr>
        <w:t xml:space="preserve"> </w:t>
      </w:r>
      <w:r w:rsidR="000C63B5" w:rsidRPr="00691883">
        <w:rPr>
          <w:rFonts w:cs="Arial"/>
          <w:sz w:val="22"/>
          <w:lang w:val="sk-SK" w:eastAsia="sk-SK"/>
        </w:rPr>
        <w:t>and some district towns</w:t>
      </w:r>
      <w:r w:rsidRPr="00691883">
        <w:rPr>
          <w:rFonts w:cs="Arial"/>
          <w:sz w:val="22"/>
          <w:lang w:val="sk-SK" w:eastAsia="sk-SK"/>
        </w:rPr>
        <w:t xml:space="preserve">, including less developed </w:t>
      </w:r>
      <w:r w:rsidR="00034B65" w:rsidRPr="000C63B5">
        <w:rPr>
          <w:rFonts w:cs="Arial"/>
          <w:sz w:val="22"/>
          <w:lang w:val="sk-SK" w:eastAsia="sk-SK"/>
        </w:rPr>
        <w:t>districts</w:t>
      </w:r>
      <w:r w:rsidRPr="00691883">
        <w:rPr>
          <w:rFonts w:cs="Arial"/>
          <w:sz w:val="22"/>
          <w:lang w:val="sk-SK" w:eastAsia="sk-SK"/>
        </w:rPr>
        <w:t xml:space="preserve">. </w:t>
      </w:r>
      <w:r w:rsidR="00B96011" w:rsidRPr="00691883">
        <w:rPr>
          <w:rFonts w:cs="Arial"/>
          <w:sz w:val="22"/>
          <w:lang w:val="sk-SK" w:eastAsia="sk-SK"/>
        </w:rPr>
        <w:t xml:space="preserve">The collected data will be </w:t>
      </w:r>
      <w:r w:rsidR="00763742" w:rsidRPr="00691883">
        <w:rPr>
          <w:rFonts w:cs="Arial"/>
          <w:sz w:val="22"/>
          <w:lang w:val="sk-SK" w:eastAsia="sk-SK"/>
        </w:rPr>
        <w:t xml:space="preserve">further assessed and </w:t>
      </w:r>
      <w:r w:rsidR="00B96011" w:rsidRPr="00691883">
        <w:rPr>
          <w:rFonts w:cs="Arial"/>
          <w:sz w:val="22"/>
          <w:lang w:val="sk-SK" w:eastAsia="sk-SK"/>
        </w:rPr>
        <w:t>compared with the situation in selected EU countries, notably Estonia and Slovenia.</w:t>
      </w:r>
    </w:p>
    <w:p w:rsidR="00B96011" w:rsidRPr="00691883" w:rsidRDefault="00B96011" w:rsidP="00691883">
      <w:pPr>
        <w:pStyle w:val="Zkladntext"/>
        <w:ind w:right="-18"/>
        <w:rPr>
          <w:rFonts w:cs="Arial"/>
          <w:sz w:val="22"/>
          <w:lang w:val="sk-SK" w:eastAsia="sk-SK"/>
        </w:rPr>
      </w:pPr>
      <w:r w:rsidRPr="00691883">
        <w:rPr>
          <w:rFonts w:cs="Arial"/>
          <w:sz w:val="22"/>
          <w:lang w:val="sk-SK" w:eastAsia="sk-SK"/>
        </w:rPr>
        <w:t xml:space="preserve">From the methodological point of view, the work is based on primary and secondary/desk research.  The desk research focused on 3 levels – EU, national and regional. We analyse </w:t>
      </w:r>
      <w:r w:rsidR="00763742" w:rsidRPr="00691883">
        <w:rPr>
          <w:rFonts w:cs="Arial"/>
          <w:sz w:val="22"/>
          <w:lang w:val="sk-SK" w:eastAsia="sk-SK"/>
        </w:rPr>
        <w:t xml:space="preserve">national </w:t>
      </w:r>
      <w:r w:rsidRPr="00691883">
        <w:rPr>
          <w:rFonts w:cs="Arial"/>
          <w:sz w:val="22"/>
          <w:lang w:val="sk-SK" w:eastAsia="sk-SK"/>
        </w:rPr>
        <w:t xml:space="preserve">strategic </w:t>
      </w:r>
      <w:r w:rsidR="00763742" w:rsidRPr="00691883">
        <w:rPr>
          <w:rFonts w:cs="Arial"/>
          <w:sz w:val="22"/>
          <w:lang w:val="sk-SK" w:eastAsia="sk-SK"/>
        </w:rPr>
        <w:t xml:space="preserve">documents </w:t>
      </w:r>
      <w:r w:rsidRPr="00691883">
        <w:rPr>
          <w:rFonts w:cs="Arial"/>
          <w:sz w:val="22"/>
          <w:lang w:val="sk-SK" w:eastAsia="sk-SK"/>
        </w:rPr>
        <w:t>and expert documents. This work helped us design the primary research – set up questionnaires for guided interviews as well as for collecting data.</w:t>
      </w:r>
    </w:p>
    <w:p w:rsidR="003B7AE6" w:rsidRPr="00691883" w:rsidRDefault="003B7AE6" w:rsidP="00691883">
      <w:pPr>
        <w:pStyle w:val="Zkladntext"/>
        <w:ind w:right="-18"/>
        <w:rPr>
          <w:rFonts w:cs="Arial"/>
          <w:sz w:val="22"/>
          <w:lang w:val="sk-SK" w:eastAsia="sk-SK"/>
        </w:rPr>
      </w:pPr>
      <w:r w:rsidRPr="00691883">
        <w:rPr>
          <w:rFonts w:cs="Arial"/>
          <w:sz w:val="22"/>
          <w:lang w:val="sk-SK" w:eastAsia="sk-SK"/>
        </w:rPr>
        <w:t>The work was organised in working teams. We were covering all of Slovakia, and we established 3 working teams – Eastern, Central and Western Slovakia. They were composed mainly of representatives of our non-formal partners</w:t>
      </w:r>
      <w:r w:rsidR="00691883">
        <w:rPr>
          <w:rStyle w:val="Odkaznapoznmkupodiarou"/>
          <w:rFonts w:cs="Arial"/>
          <w:sz w:val="22"/>
          <w:lang w:val="sk-SK" w:eastAsia="sk-SK"/>
        </w:rPr>
        <w:footnoteReference w:id="1"/>
      </w:r>
      <w:r w:rsidRPr="00691883">
        <w:rPr>
          <w:rFonts w:cs="Arial"/>
          <w:sz w:val="22"/>
          <w:lang w:val="sk-SK" w:eastAsia="sk-SK"/>
        </w:rPr>
        <w:t>.</w:t>
      </w:r>
    </w:p>
    <w:p w:rsidR="003B7AE6" w:rsidRPr="00691883" w:rsidRDefault="003B7AE6" w:rsidP="00691883">
      <w:pPr>
        <w:pStyle w:val="Zkladntext"/>
        <w:spacing w:after="0"/>
        <w:ind w:right="-18"/>
        <w:rPr>
          <w:rFonts w:cs="Arial"/>
          <w:sz w:val="22"/>
          <w:lang w:val="sk-SK" w:eastAsia="sk-SK"/>
        </w:rPr>
      </w:pPr>
      <w:r w:rsidRPr="00691883">
        <w:rPr>
          <w:rFonts w:cs="Arial"/>
          <w:sz w:val="22"/>
          <w:lang w:val="sk-SK" w:eastAsia="sk-SK"/>
        </w:rPr>
        <w:t>Eastern Slovakia:</w:t>
      </w:r>
    </w:p>
    <w:p w:rsidR="003B7AE6" w:rsidRPr="00691883" w:rsidRDefault="003B7AE6" w:rsidP="00691883">
      <w:pPr>
        <w:pStyle w:val="Zkladntext"/>
        <w:spacing w:after="0"/>
        <w:ind w:right="-18"/>
        <w:rPr>
          <w:rFonts w:cs="Arial"/>
          <w:sz w:val="22"/>
          <w:lang w:val="sk-SK" w:eastAsia="sk-SK"/>
        </w:rPr>
      </w:pPr>
      <w:r w:rsidRPr="00691883">
        <w:rPr>
          <w:rFonts w:cs="Arial"/>
          <w:sz w:val="22"/>
          <w:lang w:val="sk-SK" w:eastAsia="sk-SK"/>
        </w:rPr>
        <w:t>Marek Lukáč, lead (Prešov University)</w:t>
      </w:r>
    </w:p>
    <w:p w:rsidR="003B7AE6" w:rsidRPr="00691883" w:rsidRDefault="003B7AE6" w:rsidP="00691883">
      <w:pPr>
        <w:pStyle w:val="Zkladntext"/>
        <w:spacing w:after="0"/>
        <w:ind w:right="-18"/>
        <w:rPr>
          <w:rFonts w:cs="Arial"/>
          <w:sz w:val="22"/>
          <w:lang w:val="sk-SK" w:eastAsia="sk-SK"/>
        </w:rPr>
      </w:pPr>
      <w:r w:rsidRPr="00691883">
        <w:rPr>
          <w:rFonts w:cs="Arial"/>
          <w:sz w:val="22"/>
          <w:lang w:val="sk-SK" w:eastAsia="sk-SK"/>
        </w:rPr>
        <w:t>Martin</w:t>
      </w:r>
      <w:r w:rsidR="00034B65">
        <w:rPr>
          <w:rFonts w:cs="Arial"/>
          <w:sz w:val="22"/>
          <w:lang w:val="sk-SK" w:eastAsia="sk-SK"/>
        </w:rPr>
        <w:t>a Dembická (T</w:t>
      </w:r>
      <w:r w:rsidRPr="00691883">
        <w:rPr>
          <w:rFonts w:cs="Arial"/>
          <w:sz w:val="22"/>
          <w:lang w:val="sk-SK" w:eastAsia="sk-SK"/>
        </w:rPr>
        <w:t>own of Trebišov)</w:t>
      </w:r>
    </w:p>
    <w:p w:rsidR="003B7AE6" w:rsidRPr="00691883" w:rsidRDefault="003B7AE6" w:rsidP="00691883">
      <w:pPr>
        <w:pStyle w:val="Zkladntext"/>
        <w:spacing w:after="0"/>
        <w:ind w:right="-18"/>
        <w:rPr>
          <w:rFonts w:cs="Arial"/>
          <w:sz w:val="22"/>
          <w:lang w:val="sk-SK" w:eastAsia="sk-SK"/>
        </w:rPr>
      </w:pPr>
      <w:r w:rsidRPr="00691883">
        <w:rPr>
          <w:rFonts w:cs="Arial"/>
          <w:sz w:val="22"/>
          <w:lang w:val="sk-SK" w:eastAsia="sk-SK"/>
        </w:rPr>
        <w:t>Silvia Lukáčová (Prešov University)</w:t>
      </w:r>
    </w:p>
    <w:p w:rsidR="00763742" w:rsidRPr="00691883" w:rsidRDefault="00763742" w:rsidP="00691883">
      <w:pPr>
        <w:pStyle w:val="Zkladntext"/>
        <w:spacing w:after="0"/>
        <w:ind w:right="-18"/>
        <w:rPr>
          <w:rFonts w:cs="Arial"/>
          <w:sz w:val="22"/>
          <w:lang w:val="sk-SK" w:eastAsia="sk-SK"/>
        </w:rPr>
      </w:pPr>
    </w:p>
    <w:p w:rsidR="003B7AE6" w:rsidRPr="00691883" w:rsidRDefault="003B7AE6" w:rsidP="00691883">
      <w:pPr>
        <w:pStyle w:val="Zkladntext"/>
        <w:spacing w:after="0"/>
        <w:ind w:right="-18"/>
        <w:rPr>
          <w:rFonts w:cs="Arial"/>
          <w:sz w:val="22"/>
          <w:lang w:val="sk-SK" w:eastAsia="sk-SK"/>
        </w:rPr>
      </w:pPr>
      <w:r w:rsidRPr="00691883">
        <w:rPr>
          <w:rFonts w:cs="Arial"/>
          <w:sz w:val="22"/>
          <w:lang w:val="sk-SK" w:eastAsia="sk-SK"/>
        </w:rPr>
        <w:t>Central Slovakia:</w:t>
      </w:r>
    </w:p>
    <w:p w:rsidR="003B7AE6" w:rsidRPr="00691883" w:rsidRDefault="003B7AE6" w:rsidP="00691883">
      <w:pPr>
        <w:pStyle w:val="Zkladntext"/>
        <w:spacing w:after="0"/>
        <w:ind w:right="-18"/>
        <w:rPr>
          <w:rFonts w:cs="Arial"/>
          <w:sz w:val="22"/>
          <w:lang w:val="sk-SK" w:eastAsia="sk-SK"/>
        </w:rPr>
      </w:pPr>
      <w:r w:rsidRPr="00691883">
        <w:rPr>
          <w:rFonts w:cs="Arial"/>
          <w:sz w:val="22"/>
          <w:lang w:val="sk-SK" w:eastAsia="sk-SK"/>
        </w:rPr>
        <w:t>Miroslav Krystoň, lead (</w:t>
      </w:r>
      <w:r w:rsidR="00034B65">
        <w:rPr>
          <w:rFonts w:cs="Arial"/>
          <w:sz w:val="22"/>
          <w:lang w:val="sk-SK" w:eastAsia="sk-SK"/>
        </w:rPr>
        <w:t>University of Matej Bell, Banská</w:t>
      </w:r>
      <w:r w:rsidRPr="00691883">
        <w:rPr>
          <w:rFonts w:cs="Arial"/>
          <w:sz w:val="22"/>
          <w:lang w:val="sk-SK" w:eastAsia="sk-SK"/>
        </w:rPr>
        <w:t xml:space="preserve"> Bystrica)</w:t>
      </w:r>
    </w:p>
    <w:p w:rsidR="003B7AE6" w:rsidRPr="00691883" w:rsidRDefault="003B7AE6" w:rsidP="00691883">
      <w:pPr>
        <w:pStyle w:val="Zkladntext"/>
        <w:spacing w:after="0"/>
        <w:ind w:right="-18"/>
        <w:rPr>
          <w:rFonts w:cs="Arial"/>
          <w:sz w:val="22"/>
          <w:lang w:val="sk-SK" w:eastAsia="sk-SK"/>
        </w:rPr>
      </w:pPr>
      <w:r w:rsidRPr="00691883">
        <w:rPr>
          <w:rFonts w:cs="Arial"/>
          <w:sz w:val="22"/>
          <w:lang w:val="sk-SK" w:eastAsia="sk-SK"/>
        </w:rPr>
        <w:t>Soňa Kariková (University of Matej Bell, Banská Bystrica)</w:t>
      </w:r>
    </w:p>
    <w:p w:rsidR="003B7AE6" w:rsidRPr="00691883" w:rsidRDefault="003B7AE6" w:rsidP="00691883">
      <w:pPr>
        <w:pStyle w:val="Zkladntext"/>
        <w:spacing w:after="0"/>
        <w:ind w:right="-18"/>
        <w:rPr>
          <w:rFonts w:cs="Arial"/>
          <w:sz w:val="22"/>
          <w:lang w:val="sk-SK" w:eastAsia="sk-SK"/>
        </w:rPr>
      </w:pPr>
      <w:r w:rsidRPr="00691883">
        <w:rPr>
          <w:rFonts w:cs="Arial"/>
          <w:sz w:val="22"/>
          <w:lang w:val="sk-SK" w:eastAsia="sk-SK"/>
        </w:rPr>
        <w:t>Lucia Hrebeňárová (University of Žilina)</w:t>
      </w:r>
    </w:p>
    <w:p w:rsidR="00763742" w:rsidRPr="00691883" w:rsidRDefault="00763742" w:rsidP="00691883">
      <w:pPr>
        <w:pStyle w:val="Zkladntext"/>
        <w:spacing w:after="0"/>
        <w:ind w:right="-18"/>
        <w:rPr>
          <w:rFonts w:cs="Arial"/>
          <w:sz w:val="22"/>
          <w:lang w:val="sk-SK" w:eastAsia="sk-SK"/>
        </w:rPr>
      </w:pPr>
    </w:p>
    <w:p w:rsidR="003B7AE6" w:rsidRPr="00691883" w:rsidRDefault="003B7AE6" w:rsidP="00691883">
      <w:pPr>
        <w:pStyle w:val="Zkladntext"/>
        <w:spacing w:after="0"/>
        <w:ind w:right="-18"/>
        <w:rPr>
          <w:rFonts w:cs="Arial"/>
          <w:sz w:val="22"/>
          <w:lang w:val="sk-SK" w:eastAsia="sk-SK"/>
        </w:rPr>
      </w:pPr>
      <w:r w:rsidRPr="00691883">
        <w:rPr>
          <w:rFonts w:cs="Arial"/>
          <w:sz w:val="22"/>
          <w:lang w:val="sk-SK" w:eastAsia="sk-SK"/>
        </w:rPr>
        <w:t>Western Slovakia:</w:t>
      </w:r>
    </w:p>
    <w:p w:rsidR="003B7AE6" w:rsidRPr="00691883" w:rsidRDefault="003B7AE6" w:rsidP="00691883">
      <w:pPr>
        <w:pStyle w:val="Zkladntext"/>
        <w:spacing w:after="0"/>
        <w:ind w:right="-18"/>
        <w:rPr>
          <w:rFonts w:cs="Arial"/>
          <w:sz w:val="22"/>
          <w:lang w:val="sk-SK" w:eastAsia="sk-SK"/>
        </w:rPr>
      </w:pPr>
      <w:r w:rsidRPr="00691883">
        <w:rPr>
          <w:rFonts w:cs="Arial"/>
          <w:sz w:val="22"/>
          <w:lang w:val="sk-SK" w:eastAsia="sk-SK"/>
        </w:rPr>
        <w:t>Marta Jendeková, lead (AINova)</w:t>
      </w:r>
    </w:p>
    <w:p w:rsidR="003B7AE6" w:rsidRPr="00691883" w:rsidRDefault="003B7AE6" w:rsidP="00691883">
      <w:pPr>
        <w:pStyle w:val="Zkladntext"/>
        <w:spacing w:after="0"/>
        <w:ind w:right="-18"/>
        <w:rPr>
          <w:rFonts w:cs="Arial"/>
          <w:sz w:val="22"/>
          <w:lang w:val="sk-SK" w:eastAsia="sk-SK"/>
        </w:rPr>
      </w:pPr>
      <w:r w:rsidRPr="00691883">
        <w:rPr>
          <w:rFonts w:cs="Arial"/>
          <w:sz w:val="22"/>
          <w:lang w:val="sk-SK" w:eastAsia="sk-SK"/>
        </w:rPr>
        <w:t>Klaudius Šilhár (AIVD)</w:t>
      </w:r>
    </w:p>
    <w:p w:rsidR="003B7AE6" w:rsidRPr="00691883" w:rsidRDefault="003B7AE6" w:rsidP="00691883">
      <w:pPr>
        <w:pStyle w:val="Zkladntext"/>
        <w:spacing w:after="0"/>
        <w:ind w:right="-18"/>
        <w:rPr>
          <w:rFonts w:cs="Arial"/>
          <w:sz w:val="22"/>
          <w:lang w:val="sk-SK" w:eastAsia="sk-SK"/>
        </w:rPr>
      </w:pPr>
      <w:r w:rsidRPr="00691883">
        <w:rPr>
          <w:rFonts w:cs="Arial"/>
          <w:sz w:val="22"/>
          <w:lang w:val="sk-SK" w:eastAsia="sk-SK"/>
        </w:rPr>
        <w:t>Katarína Cigánová (AINova)</w:t>
      </w:r>
    </w:p>
    <w:p w:rsidR="00A942E5" w:rsidRPr="00A8589E" w:rsidRDefault="00B96011" w:rsidP="00554053">
      <w:pPr>
        <w:pStyle w:val="Nadpis1"/>
      </w:pPr>
      <w:bookmarkStart w:id="2" w:name="_Toc9940756"/>
      <w:r w:rsidRPr="00A8589E">
        <w:lastRenderedPageBreak/>
        <w:t>Data Collection</w:t>
      </w:r>
      <w:bookmarkEnd w:id="2"/>
    </w:p>
    <w:p w:rsidR="00A942E5" w:rsidRPr="00A8589E" w:rsidRDefault="00A942E5" w:rsidP="00554053">
      <w:pPr>
        <w:pStyle w:val="Nadpis2"/>
      </w:pPr>
      <w:bookmarkStart w:id="3" w:name="_Toc9940757"/>
      <w:r w:rsidRPr="00A8589E">
        <w:t>Terminol</w:t>
      </w:r>
      <w:r w:rsidR="005F7FEA" w:rsidRPr="00A8589E">
        <w:t>ogy</w:t>
      </w:r>
      <w:bookmarkEnd w:id="3"/>
    </w:p>
    <w:p w:rsidR="00D97FF5" w:rsidRPr="00763742" w:rsidRDefault="005F7FEA" w:rsidP="00554053">
      <w:pPr>
        <w:pStyle w:val="Zkladntext"/>
        <w:ind w:right="551"/>
        <w:rPr>
          <w:rFonts w:cs="Arial"/>
          <w:sz w:val="22"/>
          <w:lang w:val="sk-SK" w:eastAsia="sk-SK"/>
        </w:rPr>
      </w:pPr>
      <w:r w:rsidRPr="00763742">
        <w:rPr>
          <w:rFonts w:cs="Arial"/>
          <w:sz w:val="22"/>
          <w:lang w:val="sk-SK" w:eastAsia="sk-SK"/>
        </w:rPr>
        <w:t>The Slovak Act 568/2009 on Lifelong Learning does not use term „adult education“, it uses the term “further education”. Further education</w:t>
      </w:r>
      <w:r w:rsidR="00D97FF5" w:rsidRPr="00763742">
        <w:rPr>
          <w:rFonts w:cs="Arial"/>
          <w:sz w:val="22"/>
          <w:lang w:val="sk-SK" w:eastAsia="sk-SK"/>
        </w:rPr>
        <w:t xml:space="preserve"> is a part of </w:t>
      </w:r>
      <w:r w:rsidRPr="00763742">
        <w:rPr>
          <w:rFonts w:cs="Arial"/>
          <w:sz w:val="22"/>
          <w:lang w:val="sk-SK" w:eastAsia="sk-SK"/>
        </w:rPr>
        <w:t>lifelong learning</w:t>
      </w:r>
      <w:r w:rsidR="00034B65">
        <w:rPr>
          <w:rFonts w:cs="Arial"/>
          <w:sz w:val="22"/>
          <w:lang w:val="sk-SK" w:eastAsia="sk-SK"/>
        </w:rPr>
        <w:t xml:space="preserve"> (LLL)</w:t>
      </w:r>
      <w:r w:rsidR="00D97FF5" w:rsidRPr="00763742">
        <w:rPr>
          <w:rFonts w:cs="Arial"/>
          <w:sz w:val="22"/>
          <w:lang w:val="sk-SK" w:eastAsia="sk-SK"/>
        </w:rPr>
        <w:t xml:space="preserve">. The Act defines LLL as “all activities that take place during the lifetime with the aim of improving the knowledge, skills and abilities. Lifelong learning as the main principle of education and training applied in the </w:t>
      </w:r>
      <w:r w:rsidR="00034B65">
        <w:rPr>
          <w:rFonts w:cs="Arial"/>
          <w:sz w:val="22"/>
          <w:lang w:val="sk-SK" w:eastAsia="sk-SK"/>
        </w:rPr>
        <w:t>education system of the Slovak R</w:t>
      </w:r>
      <w:r w:rsidR="00D97FF5" w:rsidRPr="00763742">
        <w:rPr>
          <w:rFonts w:cs="Arial"/>
          <w:sz w:val="22"/>
          <w:lang w:val="sk-SK" w:eastAsia="sk-SK"/>
        </w:rPr>
        <w:t>epublic is composed of a) school education and b) further education following upon the education level attained in school education.</w:t>
      </w:r>
    </w:p>
    <w:p w:rsidR="005F7FEA" w:rsidRPr="0025522E" w:rsidRDefault="005F7FEA" w:rsidP="00554053">
      <w:pPr>
        <w:spacing w:before="100" w:beforeAutospacing="1" w:after="100" w:afterAutospacing="1" w:line="240" w:lineRule="auto"/>
        <w:rPr>
          <w:rFonts w:cs="Arial"/>
          <w:sz w:val="22"/>
          <w:lang w:val="sk-SK" w:eastAsia="sk-SK"/>
        </w:rPr>
      </w:pPr>
      <w:r w:rsidRPr="0025522E">
        <w:rPr>
          <w:rFonts w:cs="Arial"/>
          <w:sz w:val="22"/>
          <w:lang w:val="sk-SK" w:eastAsia="sk-SK"/>
        </w:rPr>
        <w:t xml:space="preserve">Further education is provided mainly by </w:t>
      </w:r>
      <w:r w:rsidRPr="0025522E">
        <w:rPr>
          <w:rFonts w:cs="Arial"/>
          <w:bCs/>
          <w:sz w:val="22"/>
          <w:lang w:val="sk-SK" w:eastAsia="sk-SK"/>
        </w:rPr>
        <w:t>further education institutions</w:t>
      </w:r>
      <w:r w:rsidRPr="0025522E">
        <w:rPr>
          <w:rFonts w:cs="Arial"/>
          <w:sz w:val="22"/>
          <w:lang w:val="sk-SK" w:eastAsia="sk-SK"/>
        </w:rPr>
        <w:t>. </w:t>
      </w:r>
    </w:p>
    <w:p w:rsidR="005F7FEA" w:rsidRPr="0025522E" w:rsidRDefault="005F7FEA" w:rsidP="00554053">
      <w:pPr>
        <w:spacing w:before="100" w:beforeAutospacing="1" w:after="100" w:afterAutospacing="1" w:line="240" w:lineRule="auto"/>
        <w:rPr>
          <w:rFonts w:cs="Arial"/>
          <w:sz w:val="22"/>
          <w:lang w:val="sk-SK" w:eastAsia="sk-SK"/>
        </w:rPr>
      </w:pPr>
      <w:r w:rsidRPr="0025522E">
        <w:rPr>
          <w:rFonts w:cs="Arial"/>
          <w:sz w:val="22"/>
          <w:lang w:val="sk-SK" w:eastAsia="sk-SK"/>
        </w:rPr>
        <w:t>The goal of further education is </w:t>
      </w:r>
    </w:p>
    <w:p w:rsidR="005F7FEA" w:rsidRPr="0025522E" w:rsidRDefault="005F7FEA" w:rsidP="00554053">
      <w:pPr>
        <w:numPr>
          <w:ilvl w:val="0"/>
          <w:numId w:val="13"/>
        </w:numPr>
        <w:spacing w:before="100" w:beforeAutospacing="1" w:after="100" w:afterAutospacing="1" w:line="240" w:lineRule="auto"/>
        <w:rPr>
          <w:rFonts w:cs="Arial"/>
          <w:sz w:val="22"/>
          <w:lang w:val="sk-SK" w:eastAsia="sk-SK"/>
        </w:rPr>
      </w:pPr>
      <w:r w:rsidRPr="0025522E">
        <w:rPr>
          <w:rFonts w:cs="Arial"/>
          <w:sz w:val="22"/>
          <w:lang w:val="sk-SK" w:eastAsia="sk-SK"/>
        </w:rPr>
        <w:t>to supplement, update, extend or improve qualification obtained in school education; </w:t>
      </w:r>
    </w:p>
    <w:p w:rsidR="005F7FEA" w:rsidRPr="0025522E" w:rsidRDefault="005F7FEA" w:rsidP="00554053">
      <w:pPr>
        <w:numPr>
          <w:ilvl w:val="0"/>
          <w:numId w:val="13"/>
        </w:numPr>
        <w:spacing w:before="100" w:beforeAutospacing="1" w:after="100" w:afterAutospacing="1" w:line="240" w:lineRule="auto"/>
        <w:rPr>
          <w:rFonts w:cs="Arial"/>
          <w:sz w:val="22"/>
          <w:lang w:val="sk-SK" w:eastAsia="sk-SK"/>
        </w:rPr>
      </w:pPr>
      <w:r w:rsidRPr="0025522E">
        <w:rPr>
          <w:rFonts w:cs="Arial"/>
          <w:sz w:val="22"/>
          <w:lang w:val="sk-SK" w:eastAsia="sk-SK"/>
        </w:rPr>
        <w:t>to obtain partial or full qualification, </w:t>
      </w:r>
    </w:p>
    <w:p w:rsidR="005F7FEA" w:rsidRPr="0025522E" w:rsidRDefault="005F7FEA" w:rsidP="00554053">
      <w:pPr>
        <w:numPr>
          <w:ilvl w:val="0"/>
          <w:numId w:val="13"/>
        </w:numPr>
        <w:spacing w:before="100" w:beforeAutospacing="1" w:after="100" w:afterAutospacing="1" w:line="240" w:lineRule="auto"/>
        <w:rPr>
          <w:rFonts w:cs="Arial"/>
          <w:sz w:val="22"/>
          <w:lang w:val="sk-SK" w:eastAsia="sk-SK"/>
        </w:rPr>
      </w:pPr>
      <w:r w:rsidRPr="0025522E">
        <w:rPr>
          <w:rFonts w:cs="Arial"/>
          <w:sz w:val="22"/>
          <w:lang w:val="sk-SK" w:eastAsia="sk-SK"/>
        </w:rPr>
        <w:t>satisfy interests and acquire competence to integrate into the civil society. </w:t>
      </w:r>
    </w:p>
    <w:p w:rsidR="005F7FEA" w:rsidRPr="0025522E" w:rsidRDefault="005F7FEA" w:rsidP="00554053">
      <w:pPr>
        <w:spacing w:before="100" w:beforeAutospacing="1" w:after="100" w:afterAutospacing="1" w:line="240" w:lineRule="auto"/>
        <w:rPr>
          <w:rFonts w:cs="Arial"/>
          <w:sz w:val="22"/>
          <w:lang w:val="sk-SK" w:eastAsia="sk-SK"/>
        </w:rPr>
      </w:pPr>
      <w:r w:rsidRPr="0025522E">
        <w:rPr>
          <w:rFonts w:cs="Arial"/>
          <w:bCs/>
          <w:sz w:val="22"/>
          <w:lang w:val="sk-SK" w:eastAsia="sk-SK"/>
        </w:rPr>
        <w:t>It is not possible to achieve a level of education by completion of further education in the current system. </w:t>
      </w:r>
    </w:p>
    <w:p w:rsidR="005F7FEA" w:rsidRPr="0025522E" w:rsidRDefault="005F7FEA" w:rsidP="00554053">
      <w:pPr>
        <w:spacing w:before="100" w:beforeAutospacing="1" w:after="100" w:afterAutospacing="1" w:line="240" w:lineRule="auto"/>
        <w:rPr>
          <w:rFonts w:cs="Arial"/>
          <w:sz w:val="22"/>
          <w:lang w:val="sk-SK" w:eastAsia="sk-SK"/>
        </w:rPr>
      </w:pPr>
      <w:r w:rsidRPr="0025522E">
        <w:rPr>
          <w:rFonts w:cs="Arial"/>
          <w:sz w:val="22"/>
          <w:lang w:val="sk-SK" w:eastAsia="sk-SK"/>
        </w:rPr>
        <w:t>The abovementioned goals are implemented into four types of further education: </w:t>
      </w:r>
    </w:p>
    <w:p w:rsidR="005F7FEA" w:rsidRPr="0025522E" w:rsidRDefault="005F7FEA" w:rsidP="00554053">
      <w:pPr>
        <w:numPr>
          <w:ilvl w:val="0"/>
          <w:numId w:val="14"/>
        </w:numPr>
        <w:spacing w:before="100" w:beforeAutospacing="1" w:after="100" w:afterAutospacing="1" w:line="240" w:lineRule="auto"/>
        <w:rPr>
          <w:rFonts w:cs="Arial"/>
          <w:sz w:val="22"/>
          <w:lang w:val="sk-SK" w:eastAsia="sk-SK"/>
        </w:rPr>
      </w:pPr>
      <w:r w:rsidRPr="0025522E">
        <w:rPr>
          <w:rFonts w:cs="Arial"/>
          <w:bCs/>
          <w:sz w:val="22"/>
          <w:lang w:val="sk-SK" w:eastAsia="sk-SK"/>
        </w:rPr>
        <w:t>The further vocational education </w:t>
      </w:r>
    </w:p>
    <w:p w:rsidR="005F7FEA" w:rsidRPr="0025522E" w:rsidRDefault="005F7FEA" w:rsidP="00554053">
      <w:pPr>
        <w:numPr>
          <w:ilvl w:val="0"/>
          <w:numId w:val="14"/>
        </w:numPr>
        <w:spacing w:before="100" w:beforeAutospacing="1" w:after="100" w:afterAutospacing="1" w:line="240" w:lineRule="auto"/>
        <w:rPr>
          <w:rFonts w:cs="Arial"/>
          <w:sz w:val="22"/>
          <w:lang w:val="sk-SK" w:eastAsia="sk-SK"/>
        </w:rPr>
      </w:pPr>
      <w:r w:rsidRPr="0025522E">
        <w:rPr>
          <w:rFonts w:cs="Arial"/>
          <w:bCs/>
          <w:sz w:val="22"/>
          <w:lang w:val="sk-SK" w:eastAsia="sk-SK"/>
        </w:rPr>
        <w:t>The re-qualification accredited education </w:t>
      </w:r>
    </w:p>
    <w:p w:rsidR="005F7FEA" w:rsidRPr="0025522E" w:rsidRDefault="005F7FEA" w:rsidP="00554053">
      <w:pPr>
        <w:numPr>
          <w:ilvl w:val="0"/>
          <w:numId w:val="14"/>
        </w:numPr>
        <w:spacing w:before="100" w:beforeAutospacing="1" w:after="100" w:afterAutospacing="1" w:line="240" w:lineRule="auto"/>
        <w:rPr>
          <w:rFonts w:cs="Arial"/>
          <w:sz w:val="22"/>
          <w:lang w:val="sk-SK" w:eastAsia="sk-SK"/>
        </w:rPr>
      </w:pPr>
      <w:r w:rsidRPr="0025522E">
        <w:rPr>
          <w:rFonts w:cs="Arial"/>
          <w:bCs/>
          <w:sz w:val="22"/>
          <w:lang w:val="sk-SK" w:eastAsia="sk-SK"/>
        </w:rPr>
        <w:t>The continuing education </w:t>
      </w:r>
    </w:p>
    <w:p w:rsidR="005F7FEA" w:rsidRPr="0025522E" w:rsidRDefault="005F7FEA" w:rsidP="00554053">
      <w:pPr>
        <w:numPr>
          <w:ilvl w:val="0"/>
          <w:numId w:val="14"/>
        </w:numPr>
        <w:spacing w:before="100" w:beforeAutospacing="1" w:after="100" w:afterAutospacing="1" w:line="240" w:lineRule="auto"/>
        <w:rPr>
          <w:rFonts w:cs="Arial"/>
          <w:sz w:val="22"/>
          <w:lang w:val="sk-SK" w:eastAsia="sk-SK"/>
        </w:rPr>
      </w:pPr>
      <w:r w:rsidRPr="0025522E">
        <w:rPr>
          <w:rFonts w:cs="Arial"/>
          <w:bCs/>
          <w:sz w:val="22"/>
          <w:lang w:val="sk-SK" w:eastAsia="sk-SK"/>
        </w:rPr>
        <w:t>The special-interest education</w:t>
      </w:r>
      <w:r w:rsidRPr="0025522E">
        <w:rPr>
          <w:rFonts w:cs="Arial"/>
          <w:b/>
          <w:bCs/>
          <w:sz w:val="22"/>
          <w:lang w:val="sk-SK" w:eastAsia="sk-SK"/>
        </w:rPr>
        <w:t>.</w:t>
      </w:r>
    </w:p>
    <w:p w:rsidR="005F7FEA" w:rsidRPr="0025522E" w:rsidRDefault="00D97FF5" w:rsidP="00554053">
      <w:pPr>
        <w:pStyle w:val="Zkladntext"/>
        <w:ind w:right="551"/>
        <w:rPr>
          <w:rFonts w:cs="Arial"/>
          <w:spacing w:val="12"/>
          <w:sz w:val="24"/>
          <w:szCs w:val="22"/>
        </w:rPr>
      </w:pPr>
      <w:r w:rsidRPr="0025522E">
        <w:rPr>
          <w:rFonts w:cs="Arial"/>
          <w:sz w:val="22"/>
        </w:rPr>
        <w:t>The definition of adult learning used in EU documents comes from the Council Resolution on a renewed European agenda for adult learning (2011/C 372/01): Lifelong learning covers learning from pre-school age to post-</w:t>
      </w:r>
      <w:r w:rsidR="00236ECB" w:rsidRPr="0025522E">
        <w:rPr>
          <w:rFonts w:cs="Arial"/>
          <w:sz w:val="22"/>
        </w:rPr>
        <w:t>retirement</w:t>
      </w:r>
      <w:r w:rsidRPr="0025522E">
        <w:rPr>
          <w:rFonts w:cs="Arial"/>
          <w:sz w:val="22"/>
        </w:rPr>
        <w:t>. Adult learning is a vital component of the lifelong-learning continuum, covering the entire range of formal, non-formal and informal learning activities, general and vocational, undertaken by adults after leaving initial education and training.</w:t>
      </w:r>
    </w:p>
    <w:p w:rsidR="005F7FEA" w:rsidRPr="00A8589E" w:rsidRDefault="00236ECB" w:rsidP="00554053">
      <w:pPr>
        <w:pStyle w:val="Zkladntext"/>
        <w:ind w:right="551"/>
        <w:rPr>
          <w:rFonts w:cs="Arial"/>
          <w:spacing w:val="12"/>
          <w:sz w:val="22"/>
          <w:szCs w:val="22"/>
        </w:rPr>
      </w:pPr>
      <w:r w:rsidRPr="00763742">
        <w:rPr>
          <w:rFonts w:cs="Arial"/>
          <w:sz w:val="22"/>
        </w:rPr>
        <w:t>The main difference between the definition used in Slovakia and acros</w:t>
      </w:r>
      <w:r w:rsidR="005F65B7" w:rsidRPr="00763742">
        <w:rPr>
          <w:rFonts w:cs="Arial"/>
          <w:sz w:val="22"/>
        </w:rPr>
        <w:t>s EU documents is in the coverag</w:t>
      </w:r>
      <w:r w:rsidRPr="00763742">
        <w:rPr>
          <w:rFonts w:cs="Arial"/>
          <w:sz w:val="22"/>
        </w:rPr>
        <w:t>e of formal (school) education – in SK it is not a part of further education (adult education) while in EU documents it is. A practical demonstration of this is for example adults entering a university after a break in their studies</w:t>
      </w:r>
      <w:r w:rsidR="00763742">
        <w:rPr>
          <w:rFonts w:cs="Arial"/>
          <w:sz w:val="22"/>
        </w:rPr>
        <w:t>. They</w:t>
      </w:r>
      <w:r w:rsidRPr="00763742">
        <w:rPr>
          <w:rFonts w:cs="Arial"/>
          <w:sz w:val="22"/>
        </w:rPr>
        <w:t xml:space="preserve"> are not considered “adult learners”. Or adults taking </w:t>
      </w:r>
      <w:r w:rsidR="00763742">
        <w:rPr>
          <w:rFonts w:cs="Arial"/>
          <w:sz w:val="22"/>
        </w:rPr>
        <w:t xml:space="preserve">up the </w:t>
      </w:r>
      <w:r w:rsidRPr="00763742">
        <w:rPr>
          <w:rFonts w:cs="Arial"/>
          <w:sz w:val="22"/>
        </w:rPr>
        <w:t>so called “second chance” education are not considered “adult learners” as it is provided in the framework of school / formal education</w:t>
      </w:r>
      <w:r w:rsidRPr="00A8589E">
        <w:rPr>
          <w:rFonts w:cs="Arial"/>
          <w:spacing w:val="12"/>
          <w:sz w:val="22"/>
          <w:szCs w:val="22"/>
        </w:rPr>
        <w:t>.</w:t>
      </w:r>
    </w:p>
    <w:p w:rsidR="00A942E5" w:rsidRPr="00A8589E" w:rsidRDefault="00236ECB" w:rsidP="00554053">
      <w:pPr>
        <w:pStyle w:val="Nadpis2"/>
      </w:pPr>
      <w:bookmarkStart w:id="4" w:name="_Toc9940758"/>
      <w:r w:rsidRPr="00A8589E">
        <w:lastRenderedPageBreak/>
        <w:t>Questions</w:t>
      </w:r>
      <w:bookmarkEnd w:id="4"/>
      <w:r w:rsidR="00A942E5" w:rsidRPr="00A8589E">
        <w:t xml:space="preserve"> </w:t>
      </w:r>
    </w:p>
    <w:p w:rsidR="00763742" w:rsidRDefault="00763742" w:rsidP="00554053">
      <w:pPr>
        <w:pStyle w:val="Zkladntext"/>
        <w:ind w:right="551"/>
        <w:rPr>
          <w:rFonts w:cs="Arial"/>
          <w:sz w:val="22"/>
          <w:szCs w:val="22"/>
        </w:rPr>
      </w:pPr>
      <w:r>
        <w:rPr>
          <w:rFonts w:cs="Arial"/>
          <w:sz w:val="22"/>
          <w:szCs w:val="22"/>
        </w:rPr>
        <w:t>In the mapping phase we were guided by the following questions:</w:t>
      </w:r>
    </w:p>
    <w:p w:rsidR="00A942E5" w:rsidRPr="00A8589E" w:rsidRDefault="00A942E5" w:rsidP="00554053">
      <w:pPr>
        <w:pStyle w:val="Zkladntext"/>
        <w:ind w:right="551"/>
        <w:rPr>
          <w:rFonts w:cs="Arial"/>
          <w:spacing w:val="12"/>
          <w:sz w:val="22"/>
          <w:szCs w:val="22"/>
        </w:rPr>
      </w:pPr>
      <w:r w:rsidRPr="00A8589E">
        <w:rPr>
          <w:rFonts w:cs="Arial"/>
          <w:sz w:val="22"/>
          <w:szCs w:val="22"/>
        </w:rPr>
        <w:t xml:space="preserve">1/ </w:t>
      </w:r>
      <w:r w:rsidR="00236ECB" w:rsidRPr="00A8589E">
        <w:rPr>
          <w:rFonts w:cs="Arial"/>
          <w:sz w:val="22"/>
          <w:szCs w:val="22"/>
        </w:rPr>
        <w:t xml:space="preserve">In the Eurostat statistics, Slovakia reaches only </w:t>
      </w:r>
      <w:r w:rsidR="00B735CA" w:rsidRPr="00A8589E">
        <w:rPr>
          <w:rFonts w:cs="Arial"/>
          <w:sz w:val="22"/>
          <w:szCs w:val="22"/>
        </w:rPr>
        <w:t>very low participation rates of adult in lifelong learning –</w:t>
      </w:r>
      <w:r w:rsidR="00763742">
        <w:rPr>
          <w:rFonts w:cs="Arial"/>
          <w:sz w:val="22"/>
          <w:szCs w:val="22"/>
        </w:rPr>
        <w:t xml:space="preserve"> 2018 4.0%, 2017 3,4%, 2016 3,1</w:t>
      </w:r>
      <w:r w:rsidR="00B735CA" w:rsidRPr="00A8589E">
        <w:rPr>
          <w:rFonts w:cs="Arial"/>
          <w:sz w:val="22"/>
          <w:szCs w:val="22"/>
          <w:lang w:val="en-US"/>
        </w:rPr>
        <w:t>%.</w:t>
      </w:r>
      <w:r w:rsidR="00B735CA" w:rsidRPr="00A8589E">
        <w:rPr>
          <w:rFonts w:cs="Arial"/>
          <w:sz w:val="22"/>
          <w:szCs w:val="22"/>
        </w:rPr>
        <w:t xml:space="preserve"> However, the number of various training initiatives is rather high. What is the problem </w:t>
      </w:r>
      <w:r w:rsidR="00763742">
        <w:rPr>
          <w:rFonts w:cs="Arial"/>
          <w:sz w:val="22"/>
          <w:szCs w:val="22"/>
        </w:rPr>
        <w:t xml:space="preserve">- </w:t>
      </w:r>
      <w:r w:rsidR="00B735CA" w:rsidRPr="00A8589E">
        <w:rPr>
          <w:rFonts w:cs="Arial"/>
          <w:sz w:val="22"/>
          <w:szCs w:val="22"/>
        </w:rPr>
        <w:t>is it because people do not appreciate and report their learning activities</w:t>
      </w:r>
      <w:r w:rsidR="00B735CA" w:rsidRPr="00A8589E">
        <w:rPr>
          <w:rFonts w:cs="Arial"/>
          <w:sz w:val="22"/>
          <w:szCs w:val="22"/>
          <w:lang w:val="sk-SK"/>
        </w:rPr>
        <w:t>? Are they aware of the whole range of formal, non-formal and informal learning opportunit</w:t>
      </w:r>
      <w:r w:rsidR="00763742">
        <w:rPr>
          <w:rFonts w:cs="Arial"/>
          <w:sz w:val="22"/>
          <w:szCs w:val="22"/>
          <w:lang w:val="sk-SK"/>
        </w:rPr>
        <w:t>i</w:t>
      </w:r>
      <w:r w:rsidR="00B735CA" w:rsidRPr="00A8589E">
        <w:rPr>
          <w:rFonts w:cs="Arial"/>
          <w:sz w:val="22"/>
          <w:szCs w:val="22"/>
          <w:lang w:val="sk-SK"/>
        </w:rPr>
        <w:t xml:space="preserve">es? </w:t>
      </w:r>
    </w:p>
    <w:p w:rsidR="00A942E5" w:rsidRPr="00A8589E" w:rsidRDefault="00A942E5" w:rsidP="00554053">
      <w:pPr>
        <w:pStyle w:val="Zkladntext"/>
        <w:ind w:right="551"/>
        <w:rPr>
          <w:rFonts w:cs="Arial"/>
          <w:spacing w:val="12"/>
          <w:sz w:val="22"/>
          <w:szCs w:val="22"/>
        </w:rPr>
      </w:pPr>
      <w:r w:rsidRPr="00A8589E">
        <w:rPr>
          <w:rFonts w:cs="Arial"/>
          <w:sz w:val="22"/>
          <w:szCs w:val="22"/>
        </w:rPr>
        <w:t xml:space="preserve">2/ </w:t>
      </w:r>
      <w:r w:rsidR="00B735CA" w:rsidRPr="00DA5BF0">
        <w:rPr>
          <w:rFonts w:cs="Arial"/>
          <w:sz w:val="22"/>
          <w:szCs w:val="22"/>
        </w:rPr>
        <w:t>The Slovak strategic documents use term “further education” instead of “adult education”. How is the strategy on lifelong learning reflected in practice? Are policy makers on regional and local levels well familiar with this?</w:t>
      </w:r>
    </w:p>
    <w:p w:rsidR="00A942E5" w:rsidRPr="00A8589E" w:rsidRDefault="00A942E5" w:rsidP="00554053">
      <w:pPr>
        <w:pStyle w:val="Zkladntext"/>
        <w:ind w:right="551"/>
        <w:rPr>
          <w:rFonts w:cs="Arial"/>
          <w:spacing w:val="12"/>
          <w:sz w:val="22"/>
          <w:szCs w:val="22"/>
        </w:rPr>
      </w:pPr>
      <w:r w:rsidRPr="00A8589E">
        <w:rPr>
          <w:rFonts w:cs="Arial"/>
          <w:sz w:val="22"/>
          <w:szCs w:val="22"/>
        </w:rPr>
        <w:t xml:space="preserve">3/ </w:t>
      </w:r>
      <w:r w:rsidR="00B735CA" w:rsidRPr="00A8589E">
        <w:rPr>
          <w:rFonts w:cs="Arial"/>
          <w:sz w:val="22"/>
          <w:szCs w:val="22"/>
        </w:rPr>
        <w:t>The education has a low value in Slovak society. Non-formal education has very little meaning, including the validation of it.</w:t>
      </w:r>
      <w:r w:rsidR="003B7AE6" w:rsidRPr="00A8589E">
        <w:rPr>
          <w:rFonts w:cs="Arial"/>
          <w:sz w:val="22"/>
          <w:szCs w:val="22"/>
        </w:rPr>
        <w:t xml:space="preserve"> Is there sufficient offer of training opportunities? In sufficient quality? Is it made known to people?</w:t>
      </w:r>
    </w:p>
    <w:p w:rsidR="00A942E5" w:rsidRDefault="003B7AE6" w:rsidP="00554053">
      <w:pPr>
        <w:pStyle w:val="Nadpis2"/>
      </w:pPr>
      <w:bookmarkStart w:id="5" w:name="_Toc9940759"/>
      <w:r w:rsidRPr="00A8589E">
        <w:t>Desk Research</w:t>
      </w:r>
      <w:bookmarkEnd w:id="5"/>
    </w:p>
    <w:p w:rsidR="0025522E" w:rsidRPr="0025522E" w:rsidRDefault="0025522E" w:rsidP="00554053">
      <w:pPr>
        <w:pStyle w:val="Zkladntext"/>
      </w:pPr>
      <w:r>
        <w:t>In the following section there are the main documents that we work with during this project</w:t>
      </w:r>
      <w:r w:rsidR="00763742">
        <w:t>:</w:t>
      </w:r>
    </w:p>
    <w:p w:rsidR="00A942E5" w:rsidRPr="00A8589E" w:rsidRDefault="003B7AE6" w:rsidP="00554053">
      <w:pPr>
        <w:pStyle w:val="Nadpis3"/>
      </w:pPr>
      <w:bookmarkStart w:id="6" w:name="_Toc9940760"/>
      <w:r w:rsidRPr="00A8589E">
        <w:t>EU Documents</w:t>
      </w:r>
      <w:bookmarkEnd w:id="6"/>
    </w:p>
    <w:p w:rsidR="003B7AE6" w:rsidRDefault="003B7AE6" w:rsidP="000C63B5">
      <w:pPr>
        <w:pStyle w:val="Zkladntext"/>
        <w:numPr>
          <w:ilvl w:val="0"/>
          <w:numId w:val="24"/>
        </w:numPr>
        <w:spacing w:after="0"/>
        <w:ind w:right="551"/>
        <w:rPr>
          <w:rFonts w:cs="Arial"/>
          <w:sz w:val="22"/>
        </w:rPr>
      </w:pPr>
      <w:r w:rsidRPr="0025522E">
        <w:rPr>
          <w:rFonts w:cs="Arial"/>
          <w:sz w:val="22"/>
        </w:rPr>
        <w:t>Council Resolution on a renewed European agenda for adult learning (2011/C 372/01)</w:t>
      </w:r>
    </w:p>
    <w:p w:rsidR="00763742" w:rsidRPr="00763742" w:rsidRDefault="00763742" w:rsidP="00763742">
      <w:pPr>
        <w:pStyle w:val="Zkladntext"/>
        <w:ind w:right="551"/>
        <w:rPr>
          <w:rFonts w:cs="Arial"/>
          <w:sz w:val="22"/>
          <w:lang w:val="sk-SK" w:eastAsia="sk-SK"/>
        </w:rPr>
      </w:pPr>
      <w:r w:rsidRPr="00763742">
        <w:rPr>
          <w:rFonts w:cs="Arial"/>
          <w:sz w:val="22"/>
          <w:lang w:val="sk-SK" w:eastAsia="sk-SK"/>
        </w:rPr>
        <w:t>Adult learning provides a means of up-skilling or reskilling those affected by unemployment, restructuring and career transitions, as well as makes an important contribution to social inclusion, active citizenship and personal development.</w:t>
      </w:r>
    </w:p>
    <w:p w:rsidR="006C175F" w:rsidRPr="0025522E" w:rsidRDefault="006C175F" w:rsidP="000C63B5">
      <w:pPr>
        <w:pStyle w:val="astandard3520normal"/>
        <w:numPr>
          <w:ilvl w:val="0"/>
          <w:numId w:val="24"/>
        </w:numPr>
        <w:spacing w:after="0" w:afterAutospacing="0" w:line="276" w:lineRule="auto"/>
        <w:rPr>
          <w:rStyle w:val="at5"/>
          <w:rFonts w:ascii="Arial" w:hAnsi="Arial" w:cs="Arial"/>
          <w:sz w:val="22"/>
        </w:rPr>
      </w:pPr>
      <w:r w:rsidRPr="0025522E">
        <w:rPr>
          <w:rFonts w:ascii="Arial" w:hAnsi="Arial" w:cs="Arial"/>
          <w:sz w:val="22"/>
        </w:rPr>
        <w:t xml:space="preserve">'Mind the Gap - education inequality across EU regions' </w:t>
      </w:r>
      <w:r w:rsidR="0025522E" w:rsidRPr="0025522E">
        <w:rPr>
          <w:rFonts w:ascii="Arial" w:hAnsi="Arial" w:cs="Arial"/>
          <w:sz w:val="22"/>
        </w:rPr>
        <w:t xml:space="preserve">- </w:t>
      </w:r>
      <w:r w:rsidRPr="0025522E">
        <w:rPr>
          <w:rFonts w:ascii="Arial" w:hAnsi="Arial" w:cs="Arial"/>
          <w:sz w:val="22"/>
        </w:rPr>
        <w:t>report for the European Commission</w:t>
      </w:r>
    </w:p>
    <w:p w:rsidR="006C175F" w:rsidRPr="0025522E" w:rsidRDefault="006C175F" w:rsidP="000C63B5">
      <w:pPr>
        <w:pStyle w:val="astandard3520normal"/>
        <w:spacing w:before="0" w:beforeAutospacing="0" w:after="0" w:afterAutospacing="0" w:line="276" w:lineRule="auto"/>
        <w:rPr>
          <w:rFonts w:ascii="Arial" w:hAnsi="Arial" w:cs="Arial"/>
          <w:sz w:val="22"/>
        </w:rPr>
      </w:pPr>
      <w:r w:rsidRPr="0025522E">
        <w:rPr>
          <w:rStyle w:val="at5"/>
          <w:rFonts w:ascii="Arial" w:hAnsi="Arial" w:cs="Arial"/>
          <w:sz w:val="22"/>
        </w:rPr>
        <w:t>Key findings from the report are:</w:t>
      </w:r>
    </w:p>
    <w:p w:rsidR="006C175F" w:rsidRPr="0025522E" w:rsidRDefault="006C175F" w:rsidP="000C63B5">
      <w:pPr>
        <w:pStyle w:val="atiret201p31"/>
        <w:numPr>
          <w:ilvl w:val="0"/>
          <w:numId w:val="28"/>
        </w:numPr>
        <w:spacing w:before="0" w:beforeAutospacing="0" w:line="276" w:lineRule="auto"/>
        <w:rPr>
          <w:rFonts w:ascii="Arial" w:hAnsi="Arial" w:cs="Arial"/>
          <w:sz w:val="22"/>
        </w:rPr>
      </w:pPr>
      <w:r w:rsidRPr="0025522E">
        <w:rPr>
          <w:rFonts w:ascii="Arial" w:hAnsi="Arial" w:cs="Arial"/>
          <w:sz w:val="22"/>
        </w:rPr>
        <w:t>Regional disparities in learning hinder balanced regional development and economic growth;</w:t>
      </w:r>
    </w:p>
    <w:p w:rsidR="006C175F" w:rsidRPr="0025522E" w:rsidRDefault="006C175F" w:rsidP="000C63B5">
      <w:pPr>
        <w:pStyle w:val="atiret201p31"/>
        <w:numPr>
          <w:ilvl w:val="0"/>
          <w:numId w:val="28"/>
        </w:numPr>
        <w:spacing w:line="276" w:lineRule="auto"/>
        <w:rPr>
          <w:rFonts w:ascii="Arial" w:hAnsi="Arial" w:cs="Arial"/>
          <w:sz w:val="22"/>
        </w:rPr>
      </w:pPr>
      <w:r w:rsidRPr="0025522E">
        <w:rPr>
          <w:rFonts w:ascii="Arial" w:hAnsi="Arial" w:cs="Arial"/>
          <w:sz w:val="22"/>
        </w:rPr>
        <w:t xml:space="preserve">Regional disparities in education </w:t>
      </w:r>
      <w:r w:rsidRPr="0025522E">
        <w:rPr>
          <w:rStyle w:val="at4"/>
          <w:rFonts w:ascii="Arial" w:hAnsi="Arial" w:cs="Arial"/>
          <w:sz w:val="22"/>
        </w:rPr>
        <w:t xml:space="preserve">compound </w:t>
      </w:r>
      <w:r w:rsidRPr="0025522E">
        <w:rPr>
          <w:rStyle w:val="at19"/>
          <w:rFonts w:ascii="Arial" w:hAnsi="Arial" w:cs="Arial"/>
          <w:sz w:val="22"/>
        </w:rPr>
        <w:t xml:space="preserve">inequality between EU regions. They also </w:t>
      </w:r>
      <w:r w:rsidRPr="0025522E">
        <w:rPr>
          <w:rFonts w:ascii="Arial" w:hAnsi="Arial" w:cs="Arial"/>
          <w:sz w:val="22"/>
        </w:rPr>
        <w:t>encourage brain-drain towards the more developed regions;</w:t>
      </w:r>
    </w:p>
    <w:p w:rsidR="006C175F" w:rsidRPr="0025522E" w:rsidRDefault="006C175F" w:rsidP="000C63B5">
      <w:pPr>
        <w:pStyle w:val="atiret201p31"/>
        <w:numPr>
          <w:ilvl w:val="0"/>
          <w:numId w:val="28"/>
        </w:numPr>
        <w:spacing w:line="276" w:lineRule="auto"/>
        <w:rPr>
          <w:rFonts w:ascii="Arial" w:hAnsi="Arial" w:cs="Arial"/>
          <w:sz w:val="22"/>
        </w:rPr>
      </w:pPr>
      <w:r w:rsidRPr="0025522E">
        <w:rPr>
          <w:rFonts w:ascii="Arial" w:hAnsi="Arial" w:cs="Arial"/>
          <w:sz w:val="22"/>
        </w:rPr>
        <w:t>The nature, scale and effects of educational inequalities vary considerably across EU regions. Policy solutions must be</w:t>
      </w:r>
      <w:r w:rsidRPr="0025522E">
        <w:rPr>
          <w:rStyle w:val="at15"/>
          <w:rFonts w:ascii="Arial" w:hAnsi="Arial" w:cs="Arial"/>
          <w:sz w:val="22"/>
        </w:rPr>
        <w:t xml:space="preserve"> </w:t>
      </w:r>
      <w:r w:rsidRPr="0025522E">
        <w:rPr>
          <w:rFonts w:ascii="Arial" w:hAnsi="Arial" w:cs="Arial"/>
          <w:sz w:val="22"/>
        </w:rPr>
        <w:t>tailored</w:t>
      </w:r>
      <w:r w:rsidRPr="0025522E">
        <w:rPr>
          <w:rStyle w:val="at15"/>
          <w:rFonts w:ascii="Arial" w:hAnsi="Arial" w:cs="Arial"/>
          <w:sz w:val="22"/>
        </w:rPr>
        <w:t xml:space="preserve"> </w:t>
      </w:r>
      <w:r w:rsidRPr="0025522E">
        <w:rPr>
          <w:rFonts w:ascii="Arial" w:hAnsi="Arial" w:cs="Arial"/>
          <w:sz w:val="22"/>
        </w:rPr>
        <w:t>rather than generic;</w:t>
      </w:r>
    </w:p>
    <w:p w:rsidR="006C175F" w:rsidRPr="0025522E" w:rsidRDefault="006C175F" w:rsidP="000C63B5">
      <w:pPr>
        <w:pStyle w:val="atiret201p31"/>
        <w:numPr>
          <w:ilvl w:val="0"/>
          <w:numId w:val="28"/>
        </w:numPr>
        <w:spacing w:line="276" w:lineRule="auto"/>
        <w:rPr>
          <w:rFonts w:ascii="Arial" w:hAnsi="Arial" w:cs="Arial"/>
          <w:sz w:val="22"/>
        </w:rPr>
      </w:pPr>
      <w:r w:rsidRPr="0025522E">
        <w:rPr>
          <w:rFonts w:ascii="Arial" w:hAnsi="Arial" w:cs="Arial"/>
          <w:sz w:val="22"/>
        </w:rPr>
        <w:t xml:space="preserve">Effective use </w:t>
      </w:r>
      <w:r w:rsidRPr="0025522E">
        <w:rPr>
          <w:rStyle w:val="at9"/>
          <w:rFonts w:ascii="Arial" w:hAnsi="Arial" w:cs="Arial"/>
          <w:sz w:val="22"/>
        </w:rPr>
        <w:t>of the European Structural Funds can help redress regional disparities in education and their effects;</w:t>
      </w:r>
    </w:p>
    <w:p w:rsidR="006C175F" w:rsidRPr="0025522E" w:rsidRDefault="006C175F" w:rsidP="000C63B5">
      <w:pPr>
        <w:pStyle w:val="atiret201p31"/>
        <w:numPr>
          <w:ilvl w:val="0"/>
          <w:numId w:val="28"/>
        </w:numPr>
        <w:spacing w:line="276" w:lineRule="auto"/>
        <w:rPr>
          <w:rFonts w:ascii="Arial" w:hAnsi="Arial" w:cs="Arial"/>
          <w:sz w:val="22"/>
        </w:rPr>
      </w:pPr>
      <w:r w:rsidRPr="0025522E">
        <w:rPr>
          <w:rFonts w:ascii="Arial" w:hAnsi="Arial" w:cs="Arial"/>
          <w:sz w:val="22"/>
        </w:rPr>
        <w:t>More systematic collection of data at</w:t>
      </w:r>
      <w:r w:rsidRPr="0025522E">
        <w:rPr>
          <w:rStyle w:val="at15"/>
          <w:rFonts w:ascii="Arial" w:hAnsi="Arial" w:cs="Arial"/>
          <w:sz w:val="22"/>
        </w:rPr>
        <w:t xml:space="preserve"> </w:t>
      </w:r>
      <w:r w:rsidRPr="0025522E">
        <w:rPr>
          <w:rFonts w:ascii="Arial" w:hAnsi="Arial" w:cs="Arial"/>
          <w:sz w:val="22"/>
        </w:rPr>
        <w:t xml:space="preserve">sub-regional level is necessary to improve the knowledge base </w:t>
      </w:r>
      <w:r w:rsidRPr="0025522E">
        <w:rPr>
          <w:rStyle w:val="at4"/>
          <w:rFonts w:ascii="Arial" w:hAnsi="Arial" w:cs="Arial"/>
          <w:sz w:val="22"/>
        </w:rPr>
        <w:t>and to inform policy-makers</w:t>
      </w:r>
      <w:r w:rsidRPr="0025522E">
        <w:rPr>
          <w:rFonts w:ascii="Arial" w:hAnsi="Arial" w:cs="Arial"/>
          <w:sz w:val="22"/>
        </w:rPr>
        <w:t xml:space="preserve"> on this topic</w:t>
      </w:r>
      <w:r w:rsidRPr="0025522E">
        <w:rPr>
          <w:rStyle w:val="at4"/>
          <w:rFonts w:ascii="Arial" w:hAnsi="Arial" w:cs="Arial"/>
          <w:sz w:val="22"/>
        </w:rPr>
        <w:t>.</w:t>
      </w:r>
    </w:p>
    <w:p w:rsidR="006C175F" w:rsidRPr="00A8589E" w:rsidRDefault="006C175F" w:rsidP="00554053">
      <w:pPr>
        <w:pStyle w:val="Odsekzoznamu"/>
        <w:spacing w:before="100" w:beforeAutospacing="1" w:after="100" w:afterAutospacing="1" w:line="240" w:lineRule="auto"/>
      </w:pPr>
    </w:p>
    <w:p w:rsidR="006C175F" w:rsidRPr="0025522E" w:rsidRDefault="006C175F" w:rsidP="00554053">
      <w:pPr>
        <w:pStyle w:val="Odsekzoznamu"/>
        <w:numPr>
          <w:ilvl w:val="0"/>
          <w:numId w:val="27"/>
        </w:numPr>
        <w:spacing w:before="100" w:beforeAutospacing="1" w:after="100" w:afterAutospacing="1" w:line="240" w:lineRule="auto"/>
        <w:rPr>
          <w:sz w:val="22"/>
        </w:rPr>
      </w:pPr>
      <w:r w:rsidRPr="0025522E">
        <w:rPr>
          <w:sz w:val="22"/>
        </w:rPr>
        <w:t>COM(2006) 614 final</w:t>
      </w:r>
      <w:r w:rsidR="0025522E" w:rsidRPr="0025522E">
        <w:rPr>
          <w:sz w:val="22"/>
        </w:rPr>
        <w:t xml:space="preserve">. </w:t>
      </w:r>
      <w:r w:rsidRPr="0025522E">
        <w:rPr>
          <w:sz w:val="22"/>
        </w:rPr>
        <w:t>COMMUNICATION FROM THE COMMISSION</w:t>
      </w:r>
      <w:r w:rsidR="0025522E" w:rsidRPr="0025522E">
        <w:rPr>
          <w:sz w:val="22"/>
        </w:rPr>
        <w:t xml:space="preserve">: </w:t>
      </w:r>
      <w:r w:rsidRPr="0025522E">
        <w:rPr>
          <w:sz w:val="22"/>
        </w:rPr>
        <w:t>Adult learning: It is never too late to learn</w:t>
      </w:r>
    </w:p>
    <w:p w:rsidR="00A8589E" w:rsidRPr="0025522E" w:rsidRDefault="006C175F" w:rsidP="00554053">
      <w:pPr>
        <w:rPr>
          <w:rStyle w:val="Siln"/>
          <w:rFonts w:cs="Arial"/>
          <w:color w:val="26282A"/>
          <w:sz w:val="22"/>
          <w:shd w:val="clear" w:color="auto" w:fill="FFFFFF"/>
        </w:rPr>
      </w:pPr>
      <w:r w:rsidRPr="0025522E">
        <w:rPr>
          <w:rFonts w:cs="Arial"/>
          <w:sz w:val="22"/>
        </w:rPr>
        <w:lastRenderedPageBreak/>
        <w:t>Education and training are critical factors for achieving the Lisbon’s strategy objectives of raising economic growth, competitiveness and social inclusion. The role of adult learning in this context, in addition to its contribution to personal development and fulfilment, is increasingly recognised in Members States’ National Reform Programmes.</w:t>
      </w:r>
      <w:r w:rsidR="00A8589E" w:rsidRPr="0025522E">
        <w:rPr>
          <w:rStyle w:val="Siln"/>
          <w:rFonts w:cs="Arial"/>
          <w:color w:val="26282A"/>
          <w:sz w:val="22"/>
          <w:shd w:val="clear" w:color="auto" w:fill="FFFFFF"/>
        </w:rPr>
        <w:t xml:space="preserve"> </w:t>
      </w:r>
    </w:p>
    <w:p w:rsidR="00A8589E" w:rsidRPr="00A8589E" w:rsidRDefault="00A8589E" w:rsidP="00554053">
      <w:pPr>
        <w:rPr>
          <w:rStyle w:val="Siln"/>
          <w:rFonts w:cs="Arial"/>
          <w:color w:val="26282A"/>
          <w:shd w:val="clear" w:color="auto" w:fill="FFFFFF"/>
        </w:rPr>
      </w:pPr>
    </w:p>
    <w:p w:rsidR="00CB74D4" w:rsidRPr="0025522E" w:rsidRDefault="00CB74D4" w:rsidP="00554053">
      <w:pPr>
        <w:pStyle w:val="Odsekzoznamu"/>
        <w:numPr>
          <w:ilvl w:val="0"/>
          <w:numId w:val="27"/>
        </w:numPr>
        <w:rPr>
          <w:sz w:val="22"/>
        </w:rPr>
      </w:pPr>
      <w:r w:rsidRPr="0025522E">
        <w:rPr>
          <w:sz w:val="22"/>
        </w:rPr>
        <w:t>Strategies for improving participation in and awareness of adult learning</w:t>
      </w:r>
    </w:p>
    <w:p w:rsidR="00CB74D4" w:rsidRPr="0025522E" w:rsidRDefault="004F209F" w:rsidP="00554053">
      <w:pPr>
        <w:rPr>
          <w:rFonts w:cs="Arial"/>
          <w:sz w:val="22"/>
        </w:rPr>
      </w:pPr>
      <w:hyperlink r:id="rId12" w:tgtFrame="_blank" w:history="1">
        <w:r w:rsidR="00CB74D4" w:rsidRPr="0025522E">
          <w:rPr>
            <w:rStyle w:val="Hypertextovprepojenie"/>
            <w:rFonts w:cs="Arial"/>
            <w:sz w:val="22"/>
          </w:rPr>
          <w:t>https://publications.europa.eu/en/publication-detail/-/publication/024feeda-773e-4249-8808-158716e4296c</w:t>
        </w:r>
      </w:hyperlink>
    </w:p>
    <w:p w:rsidR="00CB74D4" w:rsidRPr="0025522E" w:rsidRDefault="00CB74D4" w:rsidP="00554053">
      <w:pPr>
        <w:rPr>
          <w:rFonts w:cs="Arial"/>
          <w:sz w:val="22"/>
        </w:rPr>
      </w:pPr>
    </w:p>
    <w:p w:rsidR="00CB74D4" w:rsidRPr="0025522E" w:rsidRDefault="00CB74D4" w:rsidP="00554053">
      <w:pPr>
        <w:pStyle w:val="Odsekzoznamu"/>
        <w:numPr>
          <w:ilvl w:val="0"/>
          <w:numId w:val="27"/>
        </w:numPr>
        <w:rPr>
          <w:sz w:val="22"/>
        </w:rPr>
      </w:pPr>
      <w:r w:rsidRPr="0025522E">
        <w:rPr>
          <w:sz w:val="22"/>
        </w:rPr>
        <w:t>Další vzdělávání v Libereckém kraji</w:t>
      </w:r>
      <w:r w:rsidR="000F2EFE">
        <w:rPr>
          <w:sz w:val="22"/>
        </w:rPr>
        <w:t xml:space="preserve"> / Further Education in the Liberec Region</w:t>
      </w:r>
    </w:p>
    <w:p w:rsidR="00CB74D4" w:rsidRPr="0025522E" w:rsidRDefault="004F209F" w:rsidP="00554053">
      <w:pPr>
        <w:rPr>
          <w:rFonts w:cs="Arial"/>
          <w:sz w:val="22"/>
        </w:rPr>
      </w:pPr>
      <w:hyperlink r:id="rId13" w:tgtFrame="_blank" w:history="1">
        <w:r w:rsidR="00CB74D4" w:rsidRPr="0025522E">
          <w:rPr>
            <w:rStyle w:val="Hypertextovprepojenie"/>
            <w:rFonts w:cs="Arial"/>
            <w:sz w:val="22"/>
          </w:rPr>
          <w:t>http://www.aivd.cz/soubor-doc739/</w:t>
        </w:r>
      </w:hyperlink>
    </w:p>
    <w:p w:rsidR="00763742" w:rsidRDefault="00763742" w:rsidP="00763742">
      <w:pPr>
        <w:rPr>
          <w:rStyle w:val="Siln"/>
          <w:rFonts w:cs="Arial"/>
          <w:b w:val="0"/>
          <w:color w:val="26282A"/>
          <w:sz w:val="22"/>
          <w:shd w:val="clear" w:color="auto" w:fill="FFFFFF"/>
        </w:rPr>
      </w:pPr>
    </w:p>
    <w:p w:rsidR="00763742" w:rsidRPr="00B90ED0" w:rsidRDefault="00763742" w:rsidP="00B90ED0">
      <w:pPr>
        <w:pStyle w:val="Odsekzoznamu"/>
        <w:numPr>
          <w:ilvl w:val="0"/>
          <w:numId w:val="27"/>
        </w:numPr>
        <w:rPr>
          <w:rStyle w:val="Siln"/>
          <w:b w:val="0"/>
          <w:color w:val="26282A"/>
          <w:sz w:val="22"/>
          <w:shd w:val="clear" w:color="auto" w:fill="FFFFFF"/>
        </w:rPr>
      </w:pPr>
      <w:r w:rsidRPr="00B90ED0">
        <w:rPr>
          <w:rStyle w:val="Siln"/>
          <w:b w:val="0"/>
          <w:color w:val="26282A"/>
          <w:sz w:val="22"/>
          <w:shd w:val="clear" w:color="auto" w:fill="FFFFFF"/>
        </w:rPr>
        <w:t>EU policies in the area of Adult Education can be found on this EU site:</w:t>
      </w:r>
    </w:p>
    <w:p w:rsidR="00763742" w:rsidRPr="00A8589E" w:rsidRDefault="004F209F" w:rsidP="00763742">
      <w:pPr>
        <w:pStyle w:val="Zkladntext"/>
        <w:ind w:right="551"/>
        <w:rPr>
          <w:rFonts w:cs="Arial"/>
        </w:rPr>
      </w:pPr>
      <w:hyperlink r:id="rId14" w:tgtFrame="_blank" w:history="1">
        <w:r w:rsidR="00763742" w:rsidRPr="00A8589E">
          <w:rPr>
            <w:rStyle w:val="Hypertextovprepojenie"/>
            <w:rFonts w:cs="Arial"/>
            <w:color w:val="0186BA"/>
            <w:sz w:val="22"/>
            <w:szCs w:val="22"/>
          </w:rPr>
          <w:t>http://ec.europa.eu/education/policy/adult-learning_en</w:t>
        </w:r>
      </w:hyperlink>
    </w:p>
    <w:p w:rsidR="00CB74D4" w:rsidRPr="00A8589E" w:rsidRDefault="00CB74D4" w:rsidP="00554053">
      <w:pPr>
        <w:pStyle w:val="Zkladntext"/>
        <w:ind w:right="551"/>
        <w:rPr>
          <w:rFonts w:cs="Arial"/>
          <w:spacing w:val="12"/>
          <w:sz w:val="22"/>
          <w:szCs w:val="22"/>
        </w:rPr>
      </w:pPr>
    </w:p>
    <w:p w:rsidR="003B7AE6" w:rsidRDefault="003B7AE6" w:rsidP="00554053">
      <w:pPr>
        <w:pStyle w:val="Nadpis3"/>
      </w:pPr>
      <w:bookmarkStart w:id="7" w:name="_Toc9940761"/>
      <w:r w:rsidRPr="00A8589E">
        <w:t>UNESCO Documents</w:t>
      </w:r>
      <w:bookmarkEnd w:id="7"/>
    </w:p>
    <w:p w:rsidR="00B90ED0" w:rsidRPr="00B90ED0" w:rsidRDefault="00B90ED0" w:rsidP="00B90ED0">
      <w:pPr>
        <w:pStyle w:val="Zkladntext"/>
        <w:rPr>
          <w:sz w:val="22"/>
        </w:rPr>
      </w:pPr>
      <w:r w:rsidRPr="00B90ED0">
        <w:rPr>
          <w:sz w:val="22"/>
        </w:rPr>
        <w:t>Among others, UNESCO established the Institute for Lifelong Learning (UIL), located in Hamburg, Germany. It takes a holistic and integrated, inter-sectoral and cross-sectoral approach to lifelong learning as the guiding paradigm for 21st century education. UIL promotes and supports lifelong learning with a focus on adult learning, continuing education, literacy and non-formal basic education.</w:t>
      </w:r>
    </w:p>
    <w:p w:rsidR="000D1A2B" w:rsidRPr="0025522E" w:rsidRDefault="00A8589E" w:rsidP="00554053">
      <w:pPr>
        <w:pStyle w:val="Normlnywebov"/>
        <w:numPr>
          <w:ilvl w:val="0"/>
          <w:numId w:val="30"/>
        </w:numPr>
        <w:shd w:val="clear" w:color="auto" w:fill="FFFFFF"/>
        <w:spacing w:before="0" w:beforeAutospacing="0" w:after="0" w:afterAutospacing="0"/>
        <w:rPr>
          <w:rFonts w:ascii="Arial" w:hAnsi="Arial" w:cs="Arial"/>
          <w:sz w:val="22"/>
          <w:szCs w:val="22"/>
        </w:rPr>
      </w:pPr>
      <w:r w:rsidRPr="0025522E">
        <w:rPr>
          <w:rFonts w:ascii="Arial" w:hAnsi="Arial" w:cs="Arial"/>
          <w:sz w:val="22"/>
          <w:szCs w:val="22"/>
        </w:rPr>
        <w:t>The Collection of Lifelong Learning Policies and Strategies lists abstracts and full-text links to laws, policies, strategies and plans on lifelong learning from UNESCO Member States and intergovernmental organizations.</w:t>
      </w:r>
    </w:p>
    <w:p w:rsidR="00A8589E" w:rsidRPr="0025522E" w:rsidRDefault="004F209F" w:rsidP="00554053">
      <w:pPr>
        <w:pStyle w:val="Normlnywebov"/>
        <w:shd w:val="clear" w:color="auto" w:fill="FFFFFF"/>
        <w:spacing w:before="0" w:beforeAutospacing="0" w:after="0" w:afterAutospacing="0"/>
        <w:rPr>
          <w:rFonts w:ascii="Arial" w:hAnsi="Arial" w:cs="Arial"/>
          <w:color w:val="26282A"/>
          <w:sz w:val="22"/>
          <w:szCs w:val="22"/>
        </w:rPr>
      </w:pPr>
      <w:hyperlink r:id="rId15" w:tgtFrame="_blank" w:history="1">
        <w:r w:rsidR="00A8589E" w:rsidRPr="0025522E">
          <w:rPr>
            <w:rStyle w:val="Hypertextovprepojenie"/>
            <w:rFonts w:ascii="Arial" w:hAnsi="Arial" w:cs="Arial"/>
            <w:color w:val="0186BA"/>
            <w:sz w:val="22"/>
            <w:szCs w:val="22"/>
          </w:rPr>
          <w:t>http://uil.unesco.org/lifelong-learning/lifelong-learning-policies</w:t>
        </w:r>
      </w:hyperlink>
    </w:p>
    <w:p w:rsidR="00A8589E" w:rsidRPr="0025522E" w:rsidRDefault="004F209F" w:rsidP="00554053">
      <w:pPr>
        <w:pStyle w:val="Normlnywebov"/>
        <w:shd w:val="clear" w:color="auto" w:fill="FFFFFF"/>
        <w:spacing w:before="0" w:beforeAutospacing="0" w:after="0" w:afterAutospacing="0"/>
        <w:rPr>
          <w:rFonts w:ascii="Arial" w:hAnsi="Arial" w:cs="Arial"/>
          <w:color w:val="26282A"/>
          <w:sz w:val="22"/>
          <w:szCs w:val="22"/>
        </w:rPr>
      </w:pPr>
      <w:hyperlink r:id="rId16" w:tgtFrame="_blank" w:history="1">
        <w:r w:rsidR="00A8589E" w:rsidRPr="0025522E">
          <w:rPr>
            <w:rStyle w:val="Hypertextovprepojenie"/>
            <w:rFonts w:ascii="Arial" w:hAnsi="Arial" w:cs="Arial"/>
            <w:color w:val="0186BA"/>
            <w:sz w:val="22"/>
            <w:szCs w:val="22"/>
          </w:rPr>
          <w:t>http://uil.unesco.org/fileadmin/keydocuments/LifelongLearning/en/LLPSCollection.pdf</w:t>
        </w:r>
      </w:hyperlink>
    </w:p>
    <w:p w:rsidR="00A8589E" w:rsidRPr="0025522E" w:rsidRDefault="00A8589E" w:rsidP="00554053">
      <w:pPr>
        <w:pStyle w:val="Normlnywebov"/>
        <w:shd w:val="clear" w:color="auto" w:fill="FFFFFF"/>
        <w:spacing w:before="0" w:beforeAutospacing="0" w:after="0" w:afterAutospacing="0"/>
        <w:rPr>
          <w:rFonts w:ascii="Arial" w:hAnsi="Arial" w:cs="Arial"/>
          <w:sz w:val="22"/>
          <w:szCs w:val="22"/>
        </w:rPr>
      </w:pPr>
    </w:p>
    <w:p w:rsidR="0025522E" w:rsidRPr="0025522E" w:rsidRDefault="00655E25" w:rsidP="00554053">
      <w:pPr>
        <w:pStyle w:val="Odsekzoznamu"/>
        <w:numPr>
          <w:ilvl w:val="0"/>
          <w:numId w:val="30"/>
        </w:numPr>
        <w:spacing w:after="150"/>
        <w:rPr>
          <w:color w:val="333333"/>
          <w:sz w:val="22"/>
          <w:szCs w:val="22"/>
        </w:rPr>
      </w:pPr>
      <w:r>
        <w:rPr>
          <w:bCs/>
          <w:color w:val="333333"/>
          <w:sz w:val="22"/>
          <w:szCs w:val="22"/>
        </w:rPr>
        <w:t xml:space="preserve">The Lifelong Learning Policies and Strategies Programme focuses, inter alia, on </w:t>
      </w:r>
      <w:r w:rsidR="0025522E">
        <w:rPr>
          <w:bCs/>
          <w:color w:val="333333"/>
          <w:sz w:val="22"/>
          <w:szCs w:val="22"/>
        </w:rPr>
        <w:t>Learning Cities</w:t>
      </w:r>
      <w:r>
        <w:rPr>
          <w:bCs/>
          <w:color w:val="333333"/>
          <w:sz w:val="22"/>
          <w:szCs w:val="22"/>
        </w:rPr>
        <w:t xml:space="preserve"> </w:t>
      </w:r>
      <w:hyperlink r:id="rId17" w:history="1">
        <w:r w:rsidRPr="008D3BBB">
          <w:rPr>
            <w:rStyle w:val="Hypertextovprepojenie"/>
            <w:bCs/>
            <w:sz w:val="22"/>
            <w:szCs w:val="22"/>
          </w:rPr>
          <w:t>http://uil.unesco.org/lifelong-learning/learning-cities</w:t>
        </w:r>
      </w:hyperlink>
      <w:r>
        <w:rPr>
          <w:bCs/>
          <w:color w:val="333333"/>
          <w:sz w:val="22"/>
          <w:szCs w:val="22"/>
        </w:rPr>
        <w:t xml:space="preserve"> </w:t>
      </w:r>
    </w:p>
    <w:p w:rsidR="00A8589E" w:rsidRPr="00034B65" w:rsidRDefault="00A8589E" w:rsidP="00B90ED0">
      <w:pPr>
        <w:rPr>
          <w:sz w:val="22"/>
          <w:szCs w:val="22"/>
        </w:rPr>
      </w:pPr>
      <w:r w:rsidRPr="00034B65">
        <w:rPr>
          <w:bCs/>
          <w:sz w:val="22"/>
          <w:szCs w:val="22"/>
        </w:rPr>
        <w:t>A learning city promotes lifelong learning for all.</w:t>
      </w:r>
      <w:r w:rsidRPr="00034B65">
        <w:rPr>
          <w:b/>
          <w:bCs/>
          <w:sz w:val="22"/>
          <w:szCs w:val="22"/>
        </w:rPr>
        <w:t> </w:t>
      </w:r>
      <w:r w:rsidRPr="00034B65">
        <w:rPr>
          <w:sz w:val="22"/>
          <w:szCs w:val="22"/>
        </w:rPr>
        <w:t>UNESCO defines a learning city as a city that:</w:t>
      </w:r>
    </w:p>
    <w:p w:rsidR="00A8589E" w:rsidRPr="00034B65" w:rsidRDefault="00A8589E" w:rsidP="00B90ED0">
      <w:pPr>
        <w:numPr>
          <w:ilvl w:val="0"/>
          <w:numId w:val="29"/>
        </w:numPr>
        <w:spacing w:line="240" w:lineRule="auto"/>
        <w:rPr>
          <w:rFonts w:cs="Arial"/>
          <w:sz w:val="22"/>
          <w:szCs w:val="22"/>
        </w:rPr>
      </w:pPr>
      <w:r w:rsidRPr="00034B65">
        <w:rPr>
          <w:rFonts w:cs="Arial"/>
          <w:sz w:val="22"/>
          <w:szCs w:val="22"/>
        </w:rPr>
        <w:t>effectively mobilizes its resources in every sector to promote inclusive learning from basic to higher education;</w:t>
      </w:r>
    </w:p>
    <w:p w:rsidR="00A8589E" w:rsidRPr="00034B65" w:rsidRDefault="00A8589E" w:rsidP="00554053">
      <w:pPr>
        <w:numPr>
          <w:ilvl w:val="0"/>
          <w:numId w:val="29"/>
        </w:numPr>
        <w:spacing w:before="100" w:beforeAutospacing="1" w:after="100" w:afterAutospacing="1" w:line="240" w:lineRule="auto"/>
        <w:rPr>
          <w:rFonts w:cs="Arial"/>
          <w:sz w:val="22"/>
          <w:szCs w:val="22"/>
        </w:rPr>
      </w:pPr>
      <w:r w:rsidRPr="00034B65">
        <w:rPr>
          <w:rFonts w:cs="Arial"/>
          <w:sz w:val="22"/>
          <w:szCs w:val="22"/>
        </w:rPr>
        <w:t>revitalizes learning in families and communities;</w:t>
      </w:r>
    </w:p>
    <w:p w:rsidR="00A8589E" w:rsidRPr="00034B65" w:rsidRDefault="00A8589E" w:rsidP="00554053">
      <w:pPr>
        <w:numPr>
          <w:ilvl w:val="0"/>
          <w:numId w:val="29"/>
        </w:numPr>
        <w:spacing w:before="100" w:beforeAutospacing="1" w:after="100" w:afterAutospacing="1" w:line="240" w:lineRule="auto"/>
        <w:rPr>
          <w:rFonts w:cs="Arial"/>
          <w:sz w:val="22"/>
          <w:szCs w:val="22"/>
        </w:rPr>
      </w:pPr>
      <w:r w:rsidRPr="00034B65">
        <w:rPr>
          <w:rFonts w:cs="Arial"/>
          <w:sz w:val="22"/>
          <w:szCs w:val="22"/>
        </w:rPr>
        <w:t>facilitates learning for and in the workplace;</w:t>
      </w:r>
    </w:p>
    <w:p w:rsidR="00A8589E" w:rsidRPr="00034B65" w:rsidRDefault="00A8589E" w:rsidP="00554053">
      <w:pPr>
        <w:numPr>
          <w:ilvl w:val="0"/>
          <w:numId w:val="29"/>
        </w:numPr>
        <w:spacing w:before="100" w:beforeAutospacing="1" w:after="100" w:afterAutospacing="1" w:line="240" w:lineRule="auto"/>
        <w:rPr>
          <w:rFonts w:cs="Arial"/>
          <w:sz w:val="22"/>
          <w:szCs w:val="22"/>
        </w:rPr>
      </w:pPr>
      <w:r w:rsidRPr="00034B65">
        <w:rPr>
          <w:rFonts w:cs="Arial"/>
          <w:sz w:val="22"/>
          <w:szCs w:val="22"/>
        </w:rPr>
        <w:t>extends the use of modern learning technologies;</w:t>
      </w:r>
    </w:p>
    <w:p w:rsidR="00A8589E" w:rsidRPr="00034B65" w:rsidRDefault="00A8589E" w:rsidP="00554053">
      <w:pPr>
        <w:numPr>
          <w:ilvl w:val="0"/>
          <w:numId w:val="29"/>
        </w:numPr>
        <w:spacing w:before="100" w:beforeAutospacing="1" w:after="100" w:afterAutospacing="1" w:line="240" w:lineRule="auto"/>
        <w:rPr>
          <w:rFonts w:cs="Arial"/>
          <w:sz w:val="22"/>
          <w:szCs w:val="22"/>
        </w:rPr>
      </w:pPr>
      <w:r w:rsidRPr="00034B65">
        <w:rPr>
          <w:rFonts w:cs="Arial"/>
          <w:sz w:val="22"/>
          <w:szCs w:val="22"/>
        </w:rPr>
        <w:t>enhances quality and excellence in learning; and</w:t>
      </w:r>
    </w:p>
    <w:p w:rsidR="00810A01" w:rsidRPr="00034B65" w:rsidRDefault="00A8589E" w:rsidP="00554053">
      <w:pPr>
        <w:pStyle w:val="Zkladntext"/>
        <w:numPr>
          <w:ilvl w:val="0"/>
          <w:numId w:val="29"/>
        </w:numPr>
        <w:rPr>
          <w:rFonts w:cs="Arial"/>
          <w:sz w:val="22"/>
          <w:szCs w:val="22"/>
        </w:rPr>
      </w:pPr>
      <w:r w:rsidRPr="00034B65">
        <w:rPr>
          <w:rFonts w:cs="Arial"/>
          <w:sz w:val="22"/>
          <w:szCs w:val="22"/>
        </w:rPr>
        <w:t>fosters a culture of learning throughout life.</w:t>
      </w:r>
    </w:p>
    <w:p w:rsidR="00655E25" w:rsidRPr="00034B65" w:rsidRDefault="00655E25" w:rsidP="00B90ED0">
      <w:pPr>
        <w:pStyle w:val="Zkladntext"/>
        <w:rPr>
          <w:rFonts w:cs="Arial"/>
          <w:sz w:val="22"/>
          <w:szCs w:val="22"/>
        </w:rPr>
      </w:pPr>
      <w:r w:rsidRPr="00034B65">
        <w:rPr>
          <w:sz w:val="22"/>
          <w:szCs w:val="22"/>
        </w:rPr>
        <w:t>While national governments are largely responsible for creating strategies for building learning societies, lasting change requires commitment at the local level. A learning society must be built province by province, city by city, and community by community.</w:t>
      </w:r>
    </w:p>
    <w:p w:rsidR="003B7AE6" w:rsidRPr="00A8589E" w:rsidRDefault="003B7AE6" w:rsidP="00554053">
      <w:pPr>
        <w:pStyle w:val="Nadpis3"/>
      </w:pPr>
      <w:bookmarkStart w:id="8" w:name="_Toc9940762"/>
      <w:r w:rsidRPr="00A8589E">
        <w:lastRenderedPageBreak/>
        <w:t>Estonia</w:t>
      </w:r>
      <w:bookmarkEnd w:id="8"/>
    </w:p>
    <w:p w:rsidR="00810A01" w:rsidRPr="00A8589E" w:rsidRDefault="00810A01" w:rsidP="00554053">
      <w:pPr>
        <w:rPr>
          <w:rFonts w:cs="Arial"/>
          <w:color w:val="1F4E79"/>
          <w:sz w:val="22"/>
          <w:szCs w:val="22"/>
          <w:lang w:val="et-EE" w:eastAsia="en-US"/>
        </w:rPr>
      </w:pPr>
    </w:p>
    <w:p w:rsidR="00810A01" w:rsidRPr="00655E25" w:rsidRDefault="00810A01" w:rsidP="00554053">
      <w:pPr>
        <w:pStyle w:val="Odsekzoznamu"/>
        <w:numPr>
          <w:ilvl w:val="0"/>
          <w:numId w:val="30"/>
        </w:numPr>
        <w:rPr>
          <w:color w:val="1F4E79"/>
          <w:sz w:val="22"/>
          <w:szCs w:val="22"/>
          <w:lang w:val="et-EE" w:eastAsia="en-US"/>
        </w:rPr>
      </w:pPr>
      <w:r w:rsidRPr="00655E25">
        <w:rPr>
          <w:color w:val="1F4E79"/>
          <w:sz w:val="22"/>
          <w:szCs w:val="22"/>
          <w:lang w:val="et-EE" w:eastAsia="en-US"/>
        </w:rPr>
        <w:t xml:space="preserve">Adult Education Act </w:t>
      </w:r>
      <w:hyperlink r:id="rId18" w:history="1">
        <w:r w:rsidRPr="00655E25">
          <w:rPr>
            <w:rStyle w:val="Hypertextovprepojenie"/>
            <w:sz w:val="22"/>
            <w:szCs w:val="22"/>
            <w:lang w:val="et-EE" w:eastAsia="en-US"/>
          </w:rPr>
          <w:t>https://www.riigiteataja.ee/en/eli/529062015007/consolide</w:t>
        </w:r>
      </w:hyperlink>
      <w:r w:rsidRPr="00655E25">
        <w:rPr>
          <w:color w:val="1F4E79"/>
          <w:sz w:val="22"/>
          <w:szCs w:val="22"/>
          <w:lang w:val="et-EE" w:eastAsia="en-US"/>
        </w:rPr>
        <w:t xml:space="preserve"> </w:t>
      </w:r>
    </w:p>
    <w:p w:rsidR="00810A01" w:rsidRPr="00655E25" w:rsidRDefault="00810A01" w:rsidP="00554053">
      <w:pPr>
        <w:pStyle w:val="Odsekzoznamu"/>
        <w:numPr>
          <w:ilvl w:val="0"/>
          <w:numId w:val="30"/>
        </w:numPr>
        <w:rPr>
          <w:color w:val="1F4E79"/>
          <w:sz w:val="22"/>
          <w:szCs w:val="22"/>
          <w:lang w:val="et-EE" w:eastAsia="en-US"/>
        </w:rPr>
      </w:pPr>
      <w:r w:rsidRPr="00655E25">
        <w:rPr>
          <w:color w:val="1F4E79"/>
          <w:sz w:val="22"/>
          <w:szCs w:val="22"/>
          <w:lang w:val="et-EE" w:eastAsia="en-US"/>
        </w:rPr>
        <w:t xml:space="preserve">Development Plan For Estonian Adult Education 2009-2013 </w:t>
      </w:r>
      <w:hyperlink r:id="rId19" w:history="1">
        <w:r w:rsidRPr="00655E25">
          <w:rPr>
            <w:rStyle w:val="Hypertextovprepojenie"/>
            <w:sz w:val="22"/>
            <w:szCs w:val="22"/>
            <w:lang w:val="et-EE" w:eastAsia="en-US"/>
          </w:rPr>
          <w:t>https://www.hm.ee/sites/default/files/development_plan_for_estonian_adult_education.pdf</w:t>
        </w:r>
      </w:hyperlink>
      <w:r w:rsidR="00655E25" w:rsidRPr="00655E25">
        <w:rPr>
          <w:color w:val="1F4E79"/>
          <w:sz w:val="22"/>
          <w:szCs w:val="22"/>
          <w:lang w:val="et-EE" w:eastAsia="en-US"/>
        </w:rPr>
        <w:t>     (N</w:t>
      </w:r>
      <w:r w:rsidRPr="00655E25">
        <w:rPr>
          <w:color w:val="1F4E79"/>
          <w:sz w:val="22"/>
          <w:szCs w:val="22"/>
          <w:lang w:val="et-EE" w:eastAsia="en-US"/>
        </w:rPr>
        <w:t xml:space="preserve">B! This Document is from previous period but </w:t>
      </w:r>
      <w:r w:rsidR="00655E25" w:rsidRPr="00655E25">
        <w:rPr>
          <w:color w:val="1F4E79"/>
          <w:sz w:val="22"/>
          <w:szCs w:val="22"/>
          <w:lang w:val="et-EE" w:eastAsia="en-US"/>
        </w:rPr>
        <w:t>still relevant</w:t>
      </w:r>
      <w:r w:rsidRPr="00655E25">
        <w:rPr>
          <w:color w:val="1F4E79"/>
          <w:sz w:val="22"/>
          <w:szCs w:val="22"/>
          <w:lang w:val="et-EE" w:eastAsia="en-US"/>
        </w:rPr>
        <w:t>)</w:t>
      </w:r>
    </w:p>
    <w:p w:rsidR="00810A01" w:rsidRPr="00655E25" w:rsidRDefault="00810A01" w:rsidP="00554053">
      <w:pPr>
        <w:pStyle w:val="Odsekzoznamu"/>
        <w:numPr>
          <w:ilvl w:val="0"/>
          <w:numId w:val="30"/>
        </w:numPr>
        <w:rPr>
          <w:color w:val="1F4E79"/>
          <w:sz w:val="22"/>
          <w:szCs w:val="22"/>
          <w:lang w:val="et-EE" w:eastAsia="en-US"/>
        </w:rPr>
      </w:pPr>
      <w:r w:rsidRPr="00655E25">
        <w:rPr>
          <w:color w:val="1F4E79"/>
          <w:sz w:val="22"/>
          <w:szCs w:val="22"/>
          <w:lang w:val="et-EE" w:eastAsia="en-US"/>
        </w:rPr>
        <w:t xml:space="preserve">Liflong Learning Strategy 2020 </w:t>
      </w:r>
      <w:hyperlink r:id="rId20" w:history="1">
        <w:r w:rsidRPr="00655E25">
          <w:rPr>
            <w:rStyle w:val="Hypertextovprepojenie"/>
            <w:sz w:val="22"/>
            <w:szCs w:val="22"/>
            <w:lang w:val="et-EE" w:eastAsia="en-US"/>
          </w:rPr>
          <w:t>https://www.hm.ee/sites/default/files/estonian_lifelong_strategy.pdf</w:t>
        </w:r>
      </w:hyperlink>
      <w:r w:rsidRPr="00655E25">
        <w:rPr>
          <w:color w:val="1F4E79"/>
          <w:sz w:val="22"/>
          <w:szCs w:val="22"/>
          <w:lang w:val="et-EE" w:eastAsia="en-US"/>
        </w:rPr>
        <w:t xml:space="preserve"> </w:t>
      </w:r>
    </w:p>
    <w:p w:rsidR="00810A01" w:rsidRPr="00655E25" w:rsidRDefault="00810A01" w:rsidP="00554053">
      <w:pPr>
        <w:pStyle w:val="Odsekzoznamu"/>
        <w:numPr>
          <w:ilvl w:val="0"/>
          <w:numId w:val="30"/>
        </w:numPr>
        <w:rPr>
          <w:color w:val="1F4E79"/>
          <w:sz w:val="22"/>
          <w:szCs w:val="22"/>
          <w:lang w:val="et-EE" w:eastAsia="en-US"/>
        </w:rPr>
      </w:pPr>
      <w:r w:rsidRPr="00655E25">
        <w:rPr>
          <w:color w:val="1F4E79"/>
          <w:sz w:val="22"/>
          <w:szCs w:val="22"/>
          <w:lang w:val="et-EE" w:eastAsia="en-US"/>
        </w:rPr>
        <w:t>Development Reports of the strategic fields 2017. Adult education pp 103-114  </w:t>
      </w:r>
      <w:hyperlink r:id="rId21" w:history="1">
        <w:r w:rsidRPr="00655E25">
          <w:rPr>
            <w:rStyle w:val="Hypertextovprepojenie"/>
            <w:sz w:val="22"/>
            <w:szCs w:val="22"/>
            <w:lang w:val="et-EE" w:eastAsia="en-US"/>
          </w:rPr>
          <w:t>https://www.hm.ee/sites/default/files/uuringud/htm_tulemusvaldkondade_2017_aruanded.pdf</w:t>
        </w:r>
      </w:hyperlink>
      <w:r w:rsidRPr="00655E25">
        <w:rPr>
          <w:color w:val="1F4E79"/>
          <w:sz w:val="22"/>
          <w:szCs w:val="22"/>
          <w:lang w:val="et-EE" w:eastAsia="en-US"/>
        </w:rPr>
        <w:t xml:space="preserve">   (NB! This Document </w:t>
      </w:r>
      <w:r w:rsidR="00655E25">
        <w:rPr>
          <w:color w:val="1F4E79"/>
          <w:sz w:val="22"/>
          <w:szCs w:val="22"/>
          <w:lang w:val="et-EE" w:eastAsia="en-US"/>
        </w:rPr>
        <w:t>is in Estonian</w:t>
      </w:r>
      <w:r w:rsidRPr="00655E25">
        <w:rPr>
          <w:color w:val="1F4E79"/>
          <w:sz w:val="22"/>
          <w:szCs w:val="22"/>
          <w:lang w:val="et-EE" w:eastAsia="en-US"/>
        </w:rPr>
        <w:t>)</w:t>
      </w:r>
    </w:p>
    <w:p w:rsidR="00810A01" w:rsidRPr="00655E25" w:rsidRDefault="00810A01" w:rsidP="00554053">
      <w:pPr>
        <w:pStyle w:val="Odsekzoznamu"/>
        <w:numPr>
          <w:ilvl w:val="0"/>
          <w:numId w:val="30"/>
        </w:numPr>
        <w:rPr>
          <w:color w:val="1F4E79"/>
          <w:sz w:val="22"/>
          <w:szCs w:val="22"/>
          <w:lang w:val="et-EE" w:eastAsia="en-US"/>
        </w:rPr>
      </w:pPr>
      <w:r w:rsidRPr="00655E25">
        <w:rPr>
          <w:color w:val="1F4E79"/>
          <w:sz w:val="22"/>
          <w:szCs w:val="22"/>
          <w:lang w:val="et-EE" w:eastAsia="en-US"/>
        </w:rPr>
        <w:t xml:space="preserve">European Report </w:t>
      </w:r>
      <w:hyperlink r:id="rId22" w:history="1">
        <w:r w:rsidRPr="00655E25">
          <w:rPr>
            <w:rStyle w:val="Hypertextovprepojenie"/>
            <w:sz w:val="22"/>
            <w:szCs w:val="22"/>
            <w:lang w:val="et-EE" w:eastAsia="en-US"/>
          </w:rPr>
          <w:t>https://ec.europa.eu/education/resources-and-tools/document-library/education-and-training-monitor-2018-estonia-factsheet_en</w:t>
        </w:r>
      </w:hyperlink>
    </w:p>
    <w:p w:rsidR="00810A01" w:rsidRPr="00655E25" w:rsidRDefault="00810A01" w:rsidP="00554053">
      <w:pPr>
        <w:pStyle w:val="Odsekzoznamu"/>
        <w:numPr>
          <w:ilvl w:val="0"/>
          <w:numId w:val="30"/>
        </w:numPr>
        <w:rPr>
          <w:color w:val="1F4E79"/>
          <w:sz w:val="22"/>
          <w:szCs w:val="22"/>
          <w:lang w:val="et-EE" w:eastAsia="en-US"/>
        </w:rPr>
      </w:pPr>
      <w:r w:rsidRPr="00655E25">
        <w:rPr>
          <w:color w:val="1F4E79"/>
          <w:sz w:val="22"/>
          <w:szCs w:val="22"/>
          <w:lang w:val="et-EE" w:eastAsia="en-US"/>
        </w:rPr>
        <w:t>Analys</w:t>
      </w:r>
      <w:r w:rsidR="00B90ED0">
        <w:rPr>
          <w:color w:val="1F4E79"/>
          <w:sz w:val="22"/>
          <w:szCs w:val="22"/>
          <w:lang w:val="et-EE" w:eastAsia="en-US"/>
        </w:rPr>
        <w:t>is</w:t>
      </w:r>
      <w:r w:rsidRPr="00655E25">
        <w:rPr>
          <w:color w:val="1F4E79"/>
          <w:sz w:val="22"/>
          <w:szCs w:val="22"/>
          <w:lang w:val="et-EE" w:eastAsia="en-US"/>
        </w:rPr>
        <w:t xml:space="preserve"> </w:t>
      </w:r>
      <w:r w:rsidR="00B90ED0">
        <w:rPr>
          <w:color w:val="1F4E79"/>
          <w:sz w:val="22"/>
          <w:szCs w:val="22"/>
          <w:lang w:val="et-EE" w:eastAsia="en-US"/>
        </w:rPr>
        <w:t xml:space="preserve">of </w:t>
      </w:r>
      <w:r w:rsidRPr="00655E25">
        <w:rPr>
          <w:color w:val="1F4E79"/>
          <w:sz w:val="22"/>
          <w:szCs w:val="22"/>
          <w:lang w:val="et-EE" w:eastAsia="en-US"/>
        </w:rPr>
        <w:t xml:space="preserve">the needs for labour and skills necessary for Estonia’s economic development over the next 10 years </w:t>
      </w:r>
      <w:hyperlink r:id="rId23" w:history="1">
        <w:r w:rsidRPr="00655E25">
          <w:rPr>
            <w:rStyle w:val="Hypertextovprepojenie"/>
            <w:sz w:val="22"/>
            <w:szCs w:val="22"/>
            <w:lang w:val="et-EE" w:eastAsia="en-US"/>
          </w:rPr>
          <w:t>http://oska.kutsekoda.ee/en/</w:t>
        </w:r>
      </w:hyperlink>
    </w:p>
    <w:p w:rsidR="00810A01" w:rsidRPr="00655E25" w:rsidRDefault="00810A01" w:rsidP="00554053">
      <w:pPr>
        <w:pStyle w:val="Odsekzoznamu"/>
        <w:numPr>
          <w:ilvl w:val="0"/>
          <w:numId w:val="30"/>
        </w:numPr>
        <w:rPr>
          <w:color w:val="1F4E79"/>
          <w:sz w:val="22"/>
          <w:szCs w:val="22"/>
          <w:lang w:val="et-EE" w:eastAsia="en-US"/>
        </w:rPr>
      </w:pPr>
      <w:r w:rsidRPr="00655E25">
        <w:rPr>
          <w:color w:val="1F4E79"/>
          <w:sz w:val="22"/>
          <w:szCs w:val="22"/>
          <w:lang w:val="et-EE" w:eastAsia="en-US"/>
        </w:rPr>
        <w:t xml:space="preserve">Ministry of Education and Research (2018). Annual analysis by the Ministry of Education and Research 2018. Summary. Adult Education pp 8-9 </w:t>
      </w:r>
      <w:hyperlink r:id="rId24" w:history="1">
        <w:r w:rsidRPr="00655E25">
          <w:rPr>
            <w:rStyle w:val="Hypertextovprepojenie"/>
            <w:sz w:val="22"/>
            <w:szCs w:val="22"/>
            <w:lang w:val="et-EE" w:eastAsia="en-US"/>
          </w:rPr>
          <w:t>https://www.hm.ee/sites/default/files/moer_-_annual_analysis_2018_-_summary.pdf</w:t>
        </w:r>
      </w:hyperlink>
      <w:r w:rsidRPr="00655E25">
        <w:rPr>
          <w:color w:val="1F4E79"/>
          <w:sz w:val="22"/>
          <w:szCs w:val="22"/>
          <w:lang w:val="et-EE" w:eastAsia="en-US"/>
        </w:rPr>
        <w:t xml:space="preserve"> </w:t>
      </w:r>
    </w:p>
    <w:p w:rsidR="00810A01" w:rsidRPr="00655E25" w:rsidRDefault="00810A01" w:rsidP="00554053">
      <w:pPr>
        <w:pStyle w:val="Odsekzoznamu"/>
        <w:numPr>
          <w:ilvl w:val="0"/>
          <w:numId w:val="30"/>
        </w:numPr>
        <w:rPr>
          <w:color w:val="1F4E79"/>
          <w:sz w:val="22"/>
          <w:szCs w:val="22"/>
          <w:lang w:val="et-EE" w:eastAsia="en-US"/>
        </w:rPr>
      </w:pPr>
      <w:r w:rsidRPr="00655E25">
        <w:rPr>
          <w:color w:val="1F4E79"/>
          <w:sz w:val="22"/>
          <w:szCs w:val="22"/>
          <w:lang w:val="et-EE" w:eastAsia="en-US"/>
        </w:rPr>
        <w:t xml:space="preserve">Ministry of Education and Research (2017). Annual analysis by the Ministry of Education and Research 2017. Summary. Adult Education pp 9-10 </w:t>
      </w:r>
      <w:hyperlink r:id="rId25" w:history="1">
        <w:r w:rsidRPr="00655E25">
          <w:rPr>
            <w:rStyle w:val="Hypertextovprepojenie"/>
            <w:sz w:val="22"/>
            <w:szCs w:val="22"/>
            <w:lang w:val="et-EE" w:eastAsia="en-US"/>
          </w:rPr>
          <w:t>https://www.hm.ee/sites/default/files/uuringud/htmannualanalyses2017summary_en.pdf</w:t>
        </w:r>
      </w:hyperlink>
      <w:r w:rsidRPr="00655E25">
        <w:rPr>
          <w:color w:val="1F4E79"/>
          <w:sz w:val="22"/>
          <w:szCs w:val="22"/>
          <w:lang w:val="et-EE" w:eastAsia="en-US"/>
        </w:rPr>
        <w:t xml:space="preserve"> </w:t>
      </w:r>
    </w:p>
    <w:p w:rsidR="00655E25" w:rsidRDefault="00655E25" w:rsidP="00554053">
      <w:pPr>
        <w:rPr>
          <w:rFonts w:cs="Arial"/>
          <w:color w:val="1F4E79"/>
          <w:sz w:val="22"/>
          <w:szCs w:val="22"/>
          <w:lang w:val="et-EE" w:eastAsia="en-US"/>
        </w:rPr>
      </w:pPr>
    </w:p>
    <w:p w:rsidR="00655E25" w:rsidRPr="00034B65" w:rsidRDefault="00655E25" w:rsidP="00B90ED0">
      <w:pPr>
        <w:rPr>
          <w:sz w:val="22"/>
          <w:szCs w:val="22"/>
          <w:lang w:val="et-EE" w:eastAsia="en-US"/>
        </w:rPr>
      </w:pPr>
      <w:r w:rsidRPr="00034B65">
        <w:rPr>
          <w:sz w:val="22"/>
          <w:szCs w:val="22"/>
          <w:lang w:val="et-EE" w:eastAsia="en-US"/>
        </w:rPr>
        <w:t>Local/regional government</w:t>
      </w:r>
      <w:r w:rsidR="000C63B5">
        <w:rPr>
          <w:sz w:val="22"/>
          <w:szCs w:val="22"/>
          <w:lang w:val="et-EE" w:eastAsia="en-US"/>
        </w:rPr>
        <w:t>s</w:t>
      </w:r>
      <w:r w:rsidRPr="00034B65">
        <w:rPr>
          <w:sz w:val="22"/>
          <w:szCs w:val="22"/>
          <w:lang w:val="et-EE" w:eastAsia="en-US"/>
        </w:rPr>
        <w:t xml:space="preserve"> work with development plans in 2018 and there is no</w:t>
      </w:r>
      <w:r w:rsidR="000C63B5">
        <w:rPr>
          <w:sz w:val="22"/>
          <w:szCs w:val="22"/>
          <w:lang w:val="et-EE" w:eastAsia="en-US"/>
        </w:rPr>
        <w:t xml:space="preserve"> comprehensive </w:t>
      </w:r>
      <w:r w:rsidR="00B90ED0" w:rsidRPr="00034B65">
        <w:rPr>
          <w:sz w:val="22"/>
          <w:szCs w:val="22"/>
          <w:lang w:val="et-EE" w:eastAsia="en-US"/>
        </w:rPr>
        <w:t>d</w:t>
      </w:r>
      <w:r w:rsidRPr="00034B65">
        <w:rPr>
          <w:sz w:val="22"/>
          <w:szCs w:val="22"/>
          <w:lang w:val="et-EE" w:eastAsia="en-US"/>
        </w:rPr>
        <w:t xml:space="preserve">ocument what </w:t>
      </w:r>
      <w:r w:rsidR="000C63B5">
        <w:rPr>
          <w:sz w:val="22"/>
          <w:szCs w:val="22"/>
          <w:lang w:val="et-EE" w:eastAsia="en-US"/>
        </w:rPr>
        <w:t xml:space="preserve">covers </w:t>
      </w:r>
      <w:r w:rsidRPr="00034B65">
        <w:rPr>
          <w:sz w:val="22"/>
          <w:szCs w:val="22"/>
          <w:lang w:val="et-EE" w:eastAsia="en-US"/>
        </w:rPr>
        <w:t xml:space="preserve">the local AE policy or situation. </w:t>
      </w:r>
    </w:p>
    <w:p w:rsidR="00810A01" w:rsidRPr="00034B65" w:rsidRDefault="00810A01" w:rsidP="00554053">
      <w:pPr>
        <w:rPr>
          <w:rFonts w:cs="Arial"/>
          <w:sz w:val="22"/>
          <w:szCs w:val="22"/>
          <w:lang w:val="et-EE" w:eastAsia="en-US"/>
        </w:rPr>
      </w:pPr>
    </w:p>
    <w:p w:rsidR="003B7AE6" w:rsidRPr="00A8589E" w:rsidRDefault="003B7AE6" w:rsidP="00554053">
      <w:pPr>
        <w:pStyle w:val="Nadpis3"/>
      </w:pPr>
      <w:bookmarkStart w:id="9" w:name="_Toc9940763"/>
      <w:r w:rsidRPr="00A8589E">
        <w:t>Slovenia</w:t>
      </w:r>
      <w:bookmarkEnd w:id="9"/>
    </w:p>
    <w:p w:rsidR="00810A01" w:rsidRPr="00655E25" w:rsidRDefault="00810A01" w:rsidP="00554053">
      <w:pPr>
        <w:pStyle w:val="Odsekzoznamu"/>
        <w:numPr>
          <w:ilvl w:val="0"/>
          <w:numId w:val="31"/>
        </w:numPr>
        <w:spacing w:line="240" w:lineRule="auto"/>
        <w:rPr>
          <w:rStyle w:val="Hypertextovprepojenie"/>
          <w:sz w:val="22"/>
          <w:lang w:val="et-EE" w:eastAsia="en-US"/>
        </w:rPr>
      </w:pPr>
      <w:r w:rsidRPr="00655E25">
        <w:rPr>
          <w:color w:val="auto"/>
          <w:sz w:val="22"/>
        </w:rPr>
        <w:t>The list of the basic L</w:t>
      </w:r>
      <w:r w:rsidR="00655E25">
        <w:rPr>
          <w:color w:val="auto"/>
          <w:sz w:val="22"/>
        </w:rPr>
        <w:t>a</w:t>
      </w:r>
      <w:r w:rsidRPr="00655E25">
        <w:rPr>
          <w:color w:val="auto"/>
          <w:sz w:val="22"/>
        </w:rPr>
        <w:t>ws in Slovenian wi</w:t>
      </w:r>
      <w:r w:rsidR="00655E25">
        <w:rPr>
          <w:color w:val="auto"/>
          <w:sz w:val="22"/>
        </w:rPr>
        <w:t>th</w:t>
      </w:r>
      <w:r w:rsidRPr="00655E25">
        <w:rPr>
          <w:color w:val="auto"/>
          <w:sz w:val="22"/>
        </w:rPr>
        <w:t xml:space="preserve"> translated titles in English </w:t>
      </w:r>
      <w:hyperlink r:id="rId26" w:history="1">
        <w:r w:rsidRPr="00655E25">
          <w:rPr>
            <w:rStyle w:val="Hypertextovprepojenie"/>
            <w:sz w:val="22"/>
            <w:szCs w:val="22"/>
            <w:lang w:val="et-EE" w:eastAsia="en-US"/>
          </w:rPr>
          <w:t>https://zakonodaja.sio.si/iskanje-2/?category=veljavno&amp;tag=temeljni-zakoni</w:t>
        </w:r>
      </w:hyperlink>
    </w:p>
    <w:p w:rsidR="00810A01" w:rsidRPr="00655E25" w:rsidRDefault="00810A01" w:rsidP="00554053">
      <w:pPr>
        <w:pStyle w:val="Odsekzoznamu"/>
        <w:numPr>
          <w:ilvl w:val="0"/>
          <w:numId w:val="31"/>
        </w:numPr>
        <w:spacing w:line="240" w:lineRule="auto"/>
        <w:rPr>
          <w:color w:val="002060"/>
          <w:sz w:val="22"/>
          <w:lang w:val="en-GB"/>
        </w:rPr>
      </w:pPr>
      <w:r w:rsidRPr="00655E25">
        <w:rPr>
          <w:color w:val="auto"/>
          <w:sz w:val="22"/>
          <w:lang w:val="en-GB"/>
        </w:rPr>
        <w:t>The list of L</w:t>
      </w:r>
      <w:r w:rsidR="00655E25">
        <w:rPr>
          <w:color w:val="auto"/>
          <w:sz w:val="22"/>
          <w:lang w:val="en-GB"/>
        </w:rPr>
        <w:t>a</w:t>
      </w:r>
      <w:r w:rsidRPr="00655E25">
        <w:rPr>
          <w:color w:val="auto"/>
          <w:sz w:val="22"/>
          <w:lang w:val="en-GB"/>
        </w:rPr>
        <w:t>ws translated in English (also the old Adult education Act)</w:t>
      </w:r>
      <w:r w:rsidRPr="00655E25">
        <w:rPr>
          <w:color w:val="002060"/>
          <w:sz w:val="22"/>
          <w:lang w:val="en-GB"/>
        </w:rPr>
        <w:t xml:space="preserve">  </w:t>
      </w:r>
      <w:hyperlink r:id="rId27" w:history="1">
        <w:r w:rsidRPr="00655E25">
          <w:rPr>
            <w:rStyle w:val="Hypertextovprepojenie"/>
            <w:color w:val="002060"/>
            <w:sz w:val="22"/>
            <w:lang w:val="en-GB"/>
          </w:rPr>
          <w:t>http://www.svz.gov.si/fileadmin/svz.gov.si/pageuploads/prevodi/List_of_Slovene_laws_and_regulations_in_English.pdf</w:t>
        </w:r>
      </w:hyperlink>
    </w:p>
    <w:p w:rsidR="00810A01" w:rsidRPr="00655E25" w:rsidRDefault="00810A01" w:rsidP="00554053">
      <w:pPr>
        <w:pStyle w:val="Odsekzoznamu"/>
        <w:numPr>
          <w:ilvl w:val="0"/>
          <w:numId w:val="31"/>
        </w:numPr>
        <w:spacing w:line="240" w:lineRule="auto"/>
        <w:rPr>
          <w:color w:val="002060"/>
          <w:sz w:val="22"/>
        </w:rPr>
      </w:pPr>
      <w:r w:rsidRPr="00655E25">
        <w:rPr>
          <w:color w:val="002060"/>
          <w:sz w:val="22"/>
        </w:rPr>
        <w:t xml:space="preserve">Adult Education Act (adopted 2. 2. 2018) in Slovenian  </w:t>
      </w:r>
      <w:hyperlink r:id="rId28" w:history="1">
        <w:r w:rsidRPr="00655E25">
          <w:rPr>
            <w:rStyle w:val="Hypertextovprepojenie"/>
            <w:color w:val="002060"/>
            <w:sz w:val="22"/>
            <w:lang w:val="en-GB"/>
          </w:rPr>
          <w:t>https://www.uradni-list.si/_pdf/2018/Ur/u2018006.pdf</w:t>
        </w:r>
      </w:hyperlink>
      <w:r w:rsidRPr="00655E25">
        <w:rPr>
          <w:color w:val="002060"/>
          <w:sz w:val="22"/>
        </w:rPr>
        <w:t xml:space="preserve">; </w:t>
      </w:r>
    </w:p>
    <w:p w:rsidR="00810A01" w:rsidRPr="00655E25" w:rsidRDefault="00810A01" w:rsidP="00554053">
      <w:pPr>
        <w:pStyle w:val="Odsekzoznamu"/>
        <w:numPr>
          <w:ilvl w:val="0"/>
          <w:numId w:val="31"/>
        </w:numPr>
        <w:spacing w:line="240" w:lineRule="auto"/>
        <w:rPr>
          <w:color w:val="002060"/>
          <w:sz w:val="22"/>
        </w:rPr>
      </w:pPr>
      <w:r w:rsidRPr="00655E25">
        <w:rPr>
          <w:color w:val="002060"/>
          <w:sz w:val="22"/>
        </w:rPr>
        <w:t xml:space="preserve">Organization and financing Act in English   </w:t>
      </w:r>
      <w:hyperlink r:id="rId29" w:tgtFrame="_blank" w:history="1">
        <w:r w:rsidRPr="00655E25">
          <w:rPr>
            <w:rStyle w:val="Hypertextovprepojenie"/>
            <w:color w:val="002060"/>
            <w:sz w:val="22"/>
            <w:bdr w:val="none" w:sz="0" w:space="0" w:color="auto" w:frame="1"/>
            <w:shd w:val="clear" w:color="auto" w:fill="FFFFFF"/>
            <w:lang w:val="en-GB"/>
          </w:rPr>
          <w:t>http://zakonodaja.sio.si/wp-content/uploads/sites/10/2011/08/OFEA_npb_170605.pdf</w:t>
        </w:r>
      </w:hyperlink>
    </w:p>
    <w:p w:rsidR="00810A01" w:rsidRPr="00655E25" w:rsidRDefault="00810A01" w:rsidP="00554053">
      <w:pPr>
        <w:pStyle w:val="Odsekzoznamu"/>
        <w:numPr>
          <w:ilvl w:val="0"/>
          <w:numId w:val="31"/>
        </w:numPr>
        <w:spacing w:line="240" w:lineRule="auto"/>
        <w:rPr>
          <w:color w:val="002060"/>
          <w:sz w:val="22"/>
        </w:rPr>
      </w:pPr>
      <w:r w:rsidRPr="00655E25">
        <w:rPr>
          <w:color w:val="002060"/>
          <w:sz w:val="22"/>
        </w:rPr>
        <w:t xml:space="preserve">Developing Strategy in Slovenia 2030 in </w:t>
      </w:r>
      <w:r w:rsidR="00655E25">
        <w:rPr>
          <w:color w:val="002060"/>
          <w:sz w:val="22"/>
        </w:rPr>
        <w:t>E</w:t>
      </w:r>
      <w:r w:rsidRPr="00655E25">
        <w:rPr>
          <w:color w:val="002060"/>
          <w:sz w:val="22"/>
        </w:rPr>
        <w:t>nglish</w:t>
      </w:r>
      <w:r w:rsidR="00655E25">
        <w:rPr>
          <w:color w:val="002060"/>
          <w:sz w:val="22"/>
        </w:rPr>
        <w:t xml:space="preserve"> </w:t>
      </w:r>
      <w:hyperlink r:id="rId30" w:history="1">
        <w:r w:rsidRPr="00655E25">
          <w:rPr>
            <w:rStyle w:val="Hypertextovprepojenie"/>
            <w:color w:val="002060"/>
            <w:sz w:val="22"/>
            <w:lang w:val="en-GB"/>
          </w:rPr>
          <w:t>http://www.vlada.si/fileadmin/dokumenti/si/projekti/2017/srs2030/en/Slovenia_2030.pdf</w:t>
        </w:r>
      </w:hyperlink>
    </w:p>
    <w:p w:rsidR="0036265C" w:rsidRDefault="00810A01" w:rsidP="00554053">
      <w:pPr>
        <w:pStyle w:val="Odsekzoznamu"/>
        <w:numPr>
          <w:ilvl w:val="0"/>
          <w:numId w:val="31"/>
        </w:numPr>
        <w:spacing w:line="240" w:lineRule="auto"/>
        <w:rPr>
          <w:color w:val="002060"/>
          <w:sz w:val="22"/>
          <w:lang w:val="en-GB"/>
        </w:rPr>
      </w:pPr>
      <w:r w:rsidRPr="00655E25">
        <w:rPr>
          <w:color w:val="002060"/>
          <w:sz w:val="22"/>
          <w:lang w:val="en-GB"/>
        </w:rPr>
        <w:t>Active Ageing Strategy in English </w:t>
      </w:r>
    </w:p>
    <w:p w:rsidR="00810A01" w:rsidRPr="00655E25" w:rsidRDefault="004F209F" w:rsidP="00554053">
      <w:pPr>
        <w:pStyle w:val="Odsekzoznamu"/>
        <w:spacing w:line="240" w:lineRule="auto"/>
        <w:ind w:left="1080"/>
        <w:rPr>
          <w:color w:val="002060"/>
          <w:sz w:val="22"/>
          <w:lang w:val="en-GB"/>
        </w:rPr>
      </w:pPr>
      <w:hyperlink r:id="rId31" w:history="1">
        <w:r w:rsidR="00810A01" w:rsidRPr="00655E25">
          <w:rPr>
            <w:rStyle w:val="Hypertextovprepojenie"/>
            <w:color w:val="002060"/>
            <w:sz w:val="22"/>
            <w:lang w:val="en-GB"/>
          </w:rPr>
          <w:t>http://www.umar.gov.si/fileadmin/user_upload/publikacije/kratke_analize/Strategija_dolgozive_druzbe/UMAR_SDD_ang.pdf</w:t>
        </w:r>
      </w:hyperlink>
    </w:p>
    <w:p w:rsidR="00810A01" w:rsidRPr="00655E25" w:rsidRDefault="00810A01" w:rsidP="00554053">
      <w:pPr>
        <w:pStyle w:val="Odsekzoznamu"/>
        <w:numPr>
          <w:ilvl w:val="0"/>
          <w:numId w:val="31"/>
        </w:numPr>
        <w:spacing w:line="240" w:lineRule="auto"/>
        <w:rPr>
          <w:color w:val="002060"/>
          <w:sz w:val="22"/>
          <w:lang w:val="en-GB"/>
        </w:rPr>
      </w:pPr>
      <w:r w:rsidRPr="00655E25">
        <w:rPr>
          <w:color w:val="002060"/>
          <w:sz w:val="22"/>
          <w:lang w:val="en-GB"/>
        </w:rPr>
        <w:t xml:space="preserve">OECD Skills Strategy Diagnostic Report    </w:t>
      </w:r>
      <w:hyperlink r:id="rId32" w:anchor="page1" w:history="1">
        <w:r w:rsidRPr="00655E25">
          <w:rPr>
            <w:rStyle w:val="Hypertextovprepojenie"/>
            <w:color w:val="002060"/>
            <w:sz w:val="22"/>
            <w:lang w:val="en-GB"/>
          </w:rPr>
          <w:t>https://read.oecd-ilibrary.org/education/oecd-skills-strategy-diagnostic-report-slovenia-2017_9789264287709-en#page1</w:t>
        </w:r>
      </w:hyperlink>
    </w:p>
    <w:p w:rsidR="00810A01" w:rsidRPr="00655E25" w:rsidRDefault="00810A01" w:rsidP="00554053">
      <w:pPr>
        <w:pStyle w:val="Odsekzoznamu"/>
        <w:numPr>
          <w:ilvl w:val="0"/>
          <w:numId w:val="31"/>
        </w:numPr>
        <w:spacing w:line="240" w:lineRule="auto"/>
        <w:rPr>
          <w:color w:val="002060"/>
          <w:sz w:val="22"/>
        </w:rPr>
      </w:pPr>
      <w:r w:rsidRPr="00655E25">
        <w:rPr>
          <w:color w:val="002060"/>
          <w:sz w:val="22"/>
        </w:rPr>
        <w:t xml:space="preserve">National Master plan of Adult Education in Slovenian </w:t>
      </w:r>
      <w:hyperlink r:id="rId33" w:history="1">
        <w:r w:rsidRPr="00655E25">
          <w:rPr>
            <w:rStyle w:val="Hypertextovprepojenie"/>
            <w:color w:val="002060"/>
            <w:sz w:val="22"/>
            <w:lang w:val="en-GB"/>
          </w:rPr>
          <w:t>http://www.pisrs.si/Pis.web/pregledPredpisa?id=RESO97</w:t>
        </w:r>
      </w:hyperlink>
    </w:p>
    <w:p w:rsidR="00810A01" w:rsidRPr="00655E25" w:rsidRDefault="00810A01" w:rsidP="00554053">
      <w:pPr>
        <w:pStyle w:val="Odsekzoznamu"/>
        <w:numPr>
          <w:ilvl w:val="0"/>
          <w:numId w:val="31"/>
        </w:numPr>
        <w:spacing w:line="240" w:lineRule="auto"/>
        <w:rPr>
          <w:color w:val="002060"/>
          <w:sz w:val="22"/>
          <w:lang w:val="en-GB"/>
        </w:rPr>
      </w:pPr>
      <w:r w:rsidRPr="00655E25">
        <w:rPr>
          <w:color w:val="002060"/>
          <w:sz w:val="22"/>
          <w:lang w:val="en-GB"/>
        </w:rPr>
        <w:lastRenderedPageBreak/>
        <w:t xml:space="preserve">Slovenia’s Smart Specialization Strategy </w:t>
      </w:r>
      <w:hyperlink r:id="rId34" w:history="1">
        <w:r w:rsidRPr="00655E25">
          <w:rPr>
            <w:rStyle w:val="Hypertextovprepojenie"/>
            <w:color w:val="002060"/>
            <w:sz w:val="22"/>
            <w:lang w:val="en-GB"/>
          </w:rPr>
          <w:t>http://www.svrk.gov.si/fileadmin/svrk.gov.si/pageuploads/Dokumenti_za_objavo_na_vstopni_strani/S4_document_2015_ENG.pdf</w:t>
        </w:r>
      </w:hyperlink>
      <w:r w:rsidRPr="00655E25">
        <w:rPr>
          <w:color w:val="002060"/>
          <w:sz w:val="22"/>
          <w:lang w:val="en-GB"/>
        </w:rPr>
        <w:t xml:space="preserve">. </w:t>
      </w:r>
    </w:p>
    <w:p w:rsidR="00A942E5" w:rsidRPr="00A8589E" w:rsidRDefault="00A942E5" w:rsidP="00554053">
      <w:pPr>
        <w:pStyle w:val="Zkladntext"/>
        <w:ind w:right="551"/>
        <w:rPr>
          <w:rFonts w:cs="Arial"/>
          <w:spacing w:val="12"/>
          <w:sz w:val="22"/>
          <w:szCs w:val="22"/>
        </w:rPr>
      </w:pPr>
    </w:p>
    <w:p w:rsidR="005E70DF" w:rsidRDefault="005E70DF" w:rsidP="00554053">
      <w:pPr>
        <w:pStyle w:val="Nadpis3"/>
      </w:pPr>
      <w:bookmarkStart w:id="10" w:name="_Toc9940764"/>
      <w:r>
        <w:t>SK Documents on Adult Education</w:t>
      </w:r>
      <w:bookmarkEnd w:id="10"/>
    </w:p>
    <w:p w:rsidR="005E70DF" w:rsidRPr="00B90ED0" w:rsidRDefault="005E70DF" w:rsidP="00554053">
      <w:pPr>
        <w:pStyle w:val="Zkladntext"/>
        <w:widowControl w:val="0"/>
        <w:numPr>
          <w:ilvl w:val="0"/>
          <w:numId w:val="21"/>
        </w:numPr>
        <w:spacing w:after="0" w:line="240" w:lineRule="auto"/>
        <w:ind w:right="551"/>
        <w:rPr>
          <w:rFonts w:cs="Arial"/>
          <w:spacing w:val="12"/>
          <w:sz w:val="22"/>
          <w:szCs w:val="22"/>
        </w:rPr>
      </w:pPr>
      <w:r w:rsidRPr="00B90ED0">
        <w:rPr>
          <w:rFonts w:cs="Arial"/>
          <w:spacing w:val="12"/>
          <w:sz w:val="22"/>
          <w:szCs w:val="22"/>
        </w:rPr>
        <w:t xml:space="preserve">National Level </w:t>
      </w:r>
    </w:p>
    <w:p w:rsidR="005E70DF" w:rsidRPr="00B90ED0" w:rsidRDefault="005E70DF" w:rsidP="00554053">
      <w:pPr>
        <w:pStyle w:val="Zkladntext"/>
        <w:widowControl w:val="0"/>
        <w:numPr>
          <w:ilvl w:val="1"/>
          <w:numId w:val="19"/>
        </w:numPr>
        <w:spacing w:after="0" w:line="240" w:lineRule="auto"/>
        <w:ind w:right="551"/>
        <w:rPr>
          <w:rFonts w:cs="Arial"/>
          <w:spacing w:val="12"/>
          <w:sz w:val="22"/>
          <w:szCs w:val="22"/>
        </w:rPr>
      </w:pPr>
      <w:r w:rsidRPr="00B90ED0">
        <w:rPr>
          <w:rFonts w:cs="Arial"/>
          <w:spacing w:val="12"/>
          <w:sz w:val="22"/>
          <w:szCs w:val="22"/>
        </w:rPr>
        <w:t>Law on further education (2009)</w:t>
      </w:r>
    </w:p>
    <w:p w:rsidR="005E70DF" w:rsidRPr="00B90ED0" w:rsidRDefault="005E70DF" w:rsidP="00554053">
      <w:pPr>
        <w:pStyle w:val="Zkladntext"/>
        <w:widowControl w:val="0"/>
        <w:numPr>
          <w:ilvl w:val="1"/>
          <w:numId w:val="19"/>
        </w:numPr>
        <w:spacing w:after="0" w:line="240" w:lineRule="auto"/>
        <w:ind w:right="551"/>
        <w:rPr>
          <w:rFonts w:cs="Arial"/>
          <w:spacing w:val="12"/>
          <w:sz w:val="22"/>
          <w:szCs w:val="22"/>
        </w:rPr>
      </w:pPr>
      <w:r w:rsidRPr="00B90ED0">
        <w:rPr>
          <w:rFonts w:cs="Arial"/>
          <w:spacing w:val="12"/>
          <w:sz w:val="22"/>
          <w:szCs w:val="22"/>
        </w:rPr>
        <w:t>Strategy on LLL</w:t>
      </w:r>
      <w:r w:rsidR="0036265C" w:rsidRPr="00B90ED0">
        <w:rPr>
          <w:rFonts w:cs="Arial"/>
          <w:spacing w:val="12"/>
          <w:sz w:val="22"/>
          <w:szCs w:val="22"/>
        </w:rPr>
        <w:t xml:space="preserve"> </w:t>
      </w:r>
      <w:r w:rsidRPr="00B90ED0">
        <w:rPr>
          <w:rFonts w:cs="Arial"/>
          <w:spacing w:val="12"/>
          <w:sz w:val="22"/>
          <w:szCs w:val="22"/>
        </w:rPr>
        <w:t>(2011)</w:t>
      </w:r>
    </w:p>
    <w:p w:rsidR="00826E90" w:rsidRPr="00B90ED0" w:rsidRDefault="00826E90" w:rsidP="00554053">
      <w:pPr>
        <w:pStyle w:val="Zkladntext"/>
        <w:widowControl w:val="0"/>
        <w:numPr>
          <w:ilvl w:val="1"/>
          <w:numId w:val="19"/>
        </w:numPr>
        <w:spacing w:after="0" w:line="240" w:lineRule="auto"/>
        <w:ind w:right="551"/>
        <w:rPr>
          <w:rFonts w:cs="Arial"/>
          <w:spacing w:val="12"/>
          <w:sz w:val="22"/>
          <w:szCs w:val="22"/>
        </w:rPr>
      </w:pPr>
      <w:r w:rsidRPr="00B90ED0">
        <w:rPr>
          <w:rFonts w:cs="Arial"/>
          <w:spacing w:val="12"/>
          <w:sz w:val="22"/>
          <w:szCs w:val="22"/>
        </w:rPr>
        <w:t>National Plan on Educational Development</w:t>
      </w:r>
    </w:p>
    <w:p w:rsidR="005E70DF" w:rsidRPr="00B90ED0" w:rsidRDefault="005E70DF" w:rsidP="00554053">
      <w:pPr>
        <w:pStyle w:val="Zkladntext"/>
        <w:widowControl w:val="0"/>
        <w:numPr>
          <w:ilvl w:val="1"/>
          <w:numId w:val="19"/>
        </w:numPr>
        <w:spacing w:after="0" w:line="240" w:lineRule="auto"/>
        <w:ind w:right="551"/>
        <w:rPr>
          <w:rFonts w:cs="Arial"/>
          <w:spacing w:val="12"/>
          <w:sz w:val="22"/>
          <w:szCs w:val="22"/>
        </w:rPr>
      </w:pPr>
      <w:r w:rsidRPr="00B90ED0">
        <w:rPr>
          <w:rFonts w:cs="Arial"/>
          <w:spacing w:val="12"/>
          <w:sz w:val="22"/>
          <w:szCs w:val="22"/>
        </w:rPr>
        <w:t>National Strategy on Regional Development</w:t>
      </w:r>
    </w:p>
    <w:p w:rsidR="005E70DF" w:rsidRDefault="005E70DF" w:rsidP="00554053">
      <w:pPr>
        <w:pStyle w:val="Zkladntext"/>
        <w:widowControl w:val="0"/>
        <w:numPr>
          <w:ilvl w:val="1"/>
          <w:numId w:val="19"/>
        </w:numPr>
        <w:spacing w:after="0" w:line="240" w:lineRule="auto"/>
        <w:ind w:right="551"/>
        <w:rPr>
          <w:rFonts w:cs="Arial"/>
          <w:spacing w:val="12"/>
          <w:sz w:val="22"/>
          <w:szCs w:val="22"/>
        </w:rPr>
      </w:pPr>
      <w:r w:rsidRPr="00B90ED0">
        <w:rPr>
          <w:rFonts w:cs="Arial"/>
          <w:spacing w:val="12"/>
          <w:sz w:val="22"/>
          <w:szCs w:val="22"/>
        </w:rPr>
        <w:t xml:space="preserve">National Strategy on Education and Training </w:t>
      </w:r>
      <w:r w:rsidRPr="00B90ED0">
        <w:rPr>
          <w:rFonts w:cs="Arial"/>
          <w:i/>
          <w:spacing w:val="12"/>
          <w:sz w:val="22"/>
          <w:szCs w:val="22"/>
        </w:rPr>
        <w:t xml:space="preserve">Learning Slovakia </w:t>
      </w:r>
      <w:r w:rsidRPr="00B90ED0">
        <w:rPr>
          <w:rFonts w:cs="Arial"/>
          <w:spacing w:val="12"/>
          <w:sz w:val="22"/>
          <w:szCs w:val="22"/>
        </w:rPr>
        <w:t>(2018)</w:t>
      </w:r>
    </w:p>
    <w:p w:rsidR="004119A6" w:rsidRPr="00DA5BF0" w:rsidRDefault="004119A6" w:rsidP="00554053">
      <w:pPr>
        <w:pStyle w:val="Zkladntext"/>
        <w:widowControl w:val="0"/>
        <w:numPr>
          <w:ilvl w:val="1"/>
          <w:numId w:val="19"/>
        </w:numPr>
        <w:spacing w:after="0" w:line="240" w:lineRule="auto"/>
        <w:ind w:right="551"/>
        <w:rPr>
          <w:rFonts w:cs="Arial"/>
          <w:spacing w:val="12"/>
          <w:sz w:val="22"/>
          <w:szCs w:val="22"/>
        </w:rPr>
      </w:pPr>
      <w:r w:rsidRPr="00DA5BF0">
        <w:rPr>
          <w:rFonts w:cs="Arial"/>
          <w:spacing w:val="12"/>
          <w:sz w:val="22"/>
          <w:szCs w:val="22"/>
        </w:rPr>
        <w:t>National strategy for regional development 2020</w:t>
      </w:r>
    </w:p>
    <w:p w:rsidR="005E70DF" w:rsidRPr="00B90ED0" w:rsidRDefault="005E70DF" w:rsidP="00554053">
      <w:pPr>
        <w:pStyle w:val="Zkladntext"/>
        <w:widowControl w:val="0"/>
        <w:numPr>
          <w:ilvl w:val="1"/>
          <w:numId w:val="19"/>
        </w:numPr>
        <w:spacing w:after="0" w:line="240" w:lineRule="auto"/>
        <w:ind w:right="551"/>
        <w:rPr>
          <w:rFonts w:cs="Arial"/>
          <w:spacing w:val="12"/>
          <w:sz w:val="22"/>
          <w:szCs w:val="22"/>
        </w:rPr>
      </w:pPr>
      <w:r w:rsidRPr="00B90ED0">
        <w:rPr>
          <w:rFonts w:cs="Arial"/>
          <w:spacing w:val="12"/>
          <w:sz w:val="22"/>
          <w:szCs w:val="22"/>
        </w:rPr>
        <w:t>National Strategy on Active Aging</w:t>
      </w:r>
    </w:p>
    <w:p w:rsidR="005E70DF" w:rsidRPr="00B90ED0" w:rsidRDefault="005E70DF" w:rsidP="00554053">
      <w:pPr>
        <w:pStyle w:val="Zkladntext"/>
        <w:widowControl w:val="0"/>
        <w:numPr>
          <w:ilvl w:val="1"/>
          <w:numId w:val="19"/>
        </w:numPr>
        <w:spacing w:after="0" w:line="240" w:lineRule="auto"/>
        <w:ind w:right="551"/>
        <w:rPr>
          <w:rFonts w:cs="Arial"/>
          <w:spacing w:val="12"/>
          <w:sz w:val="22"/>
          <w:szCs w:val="22"/>
        </w:rPr>
      </w:pPr>
      <w:r w:rsidRPr="00B90ED0">
        <w:rPr>
          <w:rFonts w:cs="Arial"/>
          <w:spacing w:val="12"/>
          <w:sz w:val="22"/>
          <w:szCs w:val="22"/>
        </w:rPr>
        <w:t>Strategy on Development of Culture 2014-2020</w:t>
      </w:r>
    </w:p>
    <w:p w:rsidR="005E70DF" w:rsidRPr="00B90ED0" w:rsidRDefault="005E70DF" w:rsidP="00554053">
      <w:pPr>
        <w:pStyle w:val="Zkladntext"/>
        <w:widowControl w:val="0"/>
        <w:numPr>
          <w:ilvl w:val="1"/>
          <w:numId w:val="19"/>
        </w:numPr>
        <w:spacing w:after="0" w:line="240" w:lineRule="auto"/>
        <w:ind w:right="551"/>
        <w:rPr>
          <w:rFonts w:cs="Arial"/>
          <w:spacing w:val="12"/>
          <w:sz w:val="22"/>
          <w:szCs w:val="22"/>
        </w:rPr>
      </w:pPr>
      <w:r w:rsidRPr="00B90ED0">
        <w:rPr>
          <w:rFonts w:cs="Arial"/>
          <w:spacing w:val="12"/>
          <w:sz w:val="22"/>
          <w:szCs w:val="22"/>
        </w:rPr>
        <w:t>Strategy for Youth</w:t>
      </w:r>
    </w:p>
    <w:p w:rsidR="005E70DF" w:rsidRPr="00B90ED0" w:rsidRDefault="005E70DF" w:rsidP="00554053">
      <w:pPr>
        <w:pStyle w:val="Zkladntext"/>
        <w:widowControl w:val="0"/>
        <w:numPr>
          <w:ilvl w:val="1"/>
          <w:numId w:val="19"/>
        </w:numPr>
        <w:spacing w:after="0" w:line="240" w:lineRule="auto"/>
        <w:ind w:right="551"/>
        <w:rPr>
          <w:rFonts w:cs="Arial"/>
          <w:spacing w:val="12"/>
          <w:sz w:val="22"/>
          <w:szCs w:val="22"/>
        </w:rPr>
      </w:pPr>
      <w:r w:rsidRPr="00B90ED0">
        <w:rPr>
          <w:rFonts w:cs="Arial"/>
          <w:spacing w:val="12"/>
          <w:sz w:val="22"/>
          <w:szCs w:val="22"/>
        </w:rPr>
        <w:t>Action Plan of Intelligent Industry 4.0</w:t>
      </w:r>
    </w:p>
    <w:p w:rsidR="00826E90" w:rsidRPr="00B90ED0" w:rsidRDefault="00826E90" w:rsidP="00554053">
      <w:pPr>
        <w:pStyle w:val="Zkladntext"/>
        <w:widowControl w:val="0"/>
        <w:numPr>
          <w:ilvl w:val="1"/>
          <w:numId w:val="19"/>
        </w:numPr>
        <w:spacing w:after="0" w:line="240" w:lineRule="auto"/>
        <w:ind w:right="551"/>
        <w:rPr>
          <w:rFonts w:cs="Arial"/>
          <w:spacing w:val="12"/>
          <w:sz w:val="22"/>
          <w:szCs w:val="22"/>
        </w:rPr>
      </w:pPr>
      <w:r w:rsidRPr="00B90ED0">
        <w:rPr>
          <w:rFonts w:cs="Arial"/>
          <w:spacing w:val="12"/>
          <w:sz w:val="22"/>
          <w:szCs w:val="22"/>
        </w:rPr>
        <w:t>Operational Programme on Human Resources</w:t>
      </w:r>
    </w:p>
    <w:p w:rsidR="00826E90" w:rsidRPr="00B90ED0" w:rsidRDefault="00826E90" w:rsidP="00554053">
      <w:pPr>
        <w:pStyle w:val="Zkladntext"/>
        <w:widowControl w:val="0"/>
        <w:numPr>
          <w:ilvl w:val="1"/>
          <w:numId w:val="19"/>
        </w:numPr>
        <w:spacing w:after="0" w:line="240" w:lineRule="auto"/>
        <w:ind w:right="551"/>
        <w:rPr>
          <w:rFonts w:cs="Arial"/>
          <w:spacing w:val="12"/>
          <w:sz w:val="22"/>
          <w:szCs w:val="22"/>
        </w:rPr>
      </w:pPr>
      <w:r w:rsidRPr="00B90ED0">
        <w:rPr>
          <w:rFonts w:cs="Arial"/>
          <w:spacing w:val="12"/>
          <w:sz w:val="22"/>
          <w:szCs w:val="22"/>
        </w:rPr>
        <w:t>Standpoint of the National Association of Employers (RÚZ)</w:t>
      </w:r>
    </w:p>
    <w:p w:rsidR="0036265C" w:rsidRPr="00B90ED0" w:rsidRDefault="0036265C" w:rsidP="00554053">
      <w:pPr>
        <w:pStyle w:val="Zkladntext"/>
        <w:widowControl w:val="0"/>
        <w:spacing w:after="0" w:line="240" w:lineRule="auto"/>
        <w:ind w:left="1184" w:right="551"/>
        <w:rPr>
          <w:rFonts w:cs="Arial"/>
          <w:spacing w:val="12"/>
          <w:sz w:val="22"/>
          <w:szCs w:val="22"/>
        </w:rPr>
      </w:pPr>
    </w:p>
    <w:p w:rsidR="005E70DF" w:rsidRPr="00B90ED0" w:rsidRDefault="005E70DF" w:rsidP="00554053">
      <w:pPr>
        <w:pStyle w:val="Zkladntext"/>
        <w:widowControl w:val="0"/>
        <w:numPr>
          <w:ilvl w:val="0"/>
          <w:numId w:val="21"/>
        </w:numPr>
        <w:spacing w:after="0" w:line="240" w:lineRule="auto"/>
        <w:ind w:right="551"/>
        <w:rPr>
          <w:rFonts w:cs="Arial"/>
          <w:spacing w:val="12"/>
          <w:sz w:val="22"/>
          <w:szCs w:val="22"/>
        </w:rPr>
      </w:pPr>
      <w:r w:rsidRPr="00B90ED0">
        <w:rPr>
          <w:rFonts w:cs="Arial"/>
          <w:spacing w:val="12"/>
          <w:sz w:val="22"/>
          <w:szCs w:val="22"/>
        </w:rPr>
        <w:t>Regional Level</w:t>
      </w:r>
    </w:p>
    <w:p w:rsidR="005E70DF" w:rsidRPr="00B90ED0" w:rsidRDefault="005E70DF" w:rsidP="00554053">
      <w:pPr>
        <w:pStyle w:val="Zkladntext"/>
        <w:widowControl w:val="0"/>
        <w:numPr>
          <w:ilvl w:val="1"/>
          <w:numId w:val="19"/>
        </w:numPr>
        <w:spacing w:after="0" w:line="240" w:lineRule="auto"/>
        <w:ind w:right="551"/>
        <w:rPr>
          <w:rFonts w:cs="Arial"/>
          <w:spacing w:val="12"/>
          <w:sz w:val="22"/>
          <w:szCs w:val="22"/>
        </w:rPr>
      </w:pPr>
      <w:r w:rsidRPr="00B90ED0">
        <w:rPr>
          <w:rFonts w:cs="Arial"/>
          <w:spacing w:val="12"/>
          <w:sz w:val="22"/>
          <w:szCs w:val="22"/>
        </w:rPr>
        <w:t>Regional and Local plans of economic and social development (analyzing the parts devoted to human resources, education, training, VET, LLL...)</w:t>
      </w:r>
    </w:p>
    <w:p w:rsidR="005E70DF" w:rsidRPr="00B90ED0" w:rsidRDefault="005E70DF" w:rsidP="00554053">
      <w:pPr>
        <w:pStyle w:val="Zkladntext"/>
        <w:widowControl w:val="0"/>
        <w:numPr>
          <w:ilvl w:val="1"/>
          <w:numId w:val="19"/>
        </w:numPr>
        <w:spacing w:after="0" w:line="240" w:lineRule="auto"/>
        <w:ind w:right="551"/>
        <w:rPr>
          <w:rFonts w:cs="Arial"/>
          <w:spacing w:val="12"/>
          <w:sz w:val="22"/>
          <w:szCs w:val="22"/>
        </w:rPr>
      </w:pPr>
      <w:r w:rsidRPr="00B90ED0">
        <w:rPr>
          <w:rFonts w:cs="Arial"/>
          <w:spacing w:val="12"/>
          <w:sz w:val="22"/>
          <w:szCs w:val="22"/>
        </w:rPr>
        <w:t>Regional Innovation Strategies</w:t>
      </w:r>
    </w:p>
    <w:p w:rsidR="005E70DF" w:rsidRPr="00B90ED0" w:rsidRDefault="005E70DF" w:rsidP="00554053">
      <w:pPr>
        <w:pStyle w:val="Zkladntext"/>
        <w:widowControl w:val="0"/>
        <w:numPr>
          <w:ilvl w:val="1"/>
          <w:numId w:val="19"/>
        </w:numPr>
        <w:spacing w:after="0" w:line="240" w:lineRule="auto"/>
        <w:ind w:right="551"/>
        <w:rPr>
          <w:rFonts w:cs="Arial"/>
          <w:spacing w:val="12"/>
          <w:sz w:val="22"/>
          <w:szCs w:val="22"/>
        </w:rPr>
      </w:pPr>
      <w:r w:rsidRPr="00B90ED0">
        <w:rPr>
          <w:rFonts w:cs="Arial"/>
          <w:spacing w:val="12"/>
          <w:sz w:val="22"/>
          <w:szCs w:val="22"/>
        </w:rPr>
        <w:t>Regional Programmes on Education and Training</w:t>
      </w:r>
    </w:p>
    <w:p w:rsidR="005E70DF" w:rsidRPr="00B90ED0" w:rsidRDefault="005E70DF" w:rsidP="00554053">
      <w:pPr>
        <w:pStyle w:val="Zkladntext"/>
        <w:widowControl w:val="0"/>
        <w:numPr>
          <w:ilvl w:val="1"/>
          <w:numId w:val="19"/>
        </w:numPr>
        <w:spacing w:after="0" w:line="240" w:lineRule="auto"/>
        <w:ind w:right="551"/>
        <w:rPr>
          <w:rFonts w:cs="Arial"/>
          <w:spacing w:val="12"/>
          <w:sz w:val="22"/>
          <w:szCs w:val="22"/>
        </w:rPr>
      </w:pPr>
      <w:r w:rsidRPr="00B90ED0">
        <w:rPr>
          <w:rFonts w:cs="Arial"/>
          <w:spacing w:val="12"/>
          <w:sz w:val="22"/>
          <w:szCs w:val="22"/>
        </w:rPr>
        <w:t>Regional Programmes for Culture</w:t>
      </w:r>
    </w:p>
    <w:p w:rsidR="005E70DF" w:rsidRPr="00B90ED0" w:rsidRDefault="005E70DF" w:rsidP="00554053">
      <w:pPr>
        <w:pStyle w:val="Zkladntext"/>
        <w:widowControl w:val="0"/>
        <w:numPr>
          <w:ilvl w:val="1"/>
          <w:numId w:val="19"/>
        </w:numPr>
        <w:spacing w:after="0" w:line="240" w:lineRule="auto"/>
        <w:ind w:right="551"/>
        <w:rPr>
          <w:rFonts w:cs="Arial"/>
          <w:spacing w:val="12"/>
          <w:sz w:val="22"/>
          <w:szCs w:val="22"/>
        </w:rPr>
      </w:pPr>
      <w:r w:rsidRPr="00B90ED0">
        <w:rPr>
          <w:rFonts w:cs="Arial"/>
          <w:spacing w:val="12"/>
          <w:sz w:val="22"/>
          <w:szCs w:val="22"/>
        </w:rPr>
        <w:t>Regional Programmes for Youth</w:t>
      </w:r>
    </w:p>
    <w:p w:rsidR="005E70DF" w:rsidRPr="00B90ED0" w:rsidRDefault="005E70DF" w:rsidP="00554053">
      <w:pPr>
        <w:pStyle w:val="Zkladntext"/>
        <w:widowControl w:val="0"/>
        <w:numPr>
          <w:ilvl w:val="1"/>
          <w:numId w:val="19"/>
        </w:numPr>
        <w:spacing w:after="0" w:line="240" w:lineRule="auto"/>
        <w:ind w:right="551"/>
        <w:rPr>
          <w:rFonts w:cs="Arial"/>
          <w:spacing w:val="12"/>
          <w:sz w:val="22"/>
          <w:szCs w:val="22"/>
        </w:rPr>
      </w:pPr>
      <w:r w:rsidRPr="00B90ED0">
        <w:rPr>
          <w:rFonts w:cs="Arial"/>
          <w:spacing w:val="12"/>
          <w:sz w:val="22"/>
          <w:szCs w:val="22"/>
        </w:rPr>
        <w:t>Community Plans of Social Services</w:t>
      </w:r>
    </w:p>
    <w:p w:rsidR="005E70DF" w:rsidRDefault="005E70DF" w:rsidP="00554053">
      <w:pPr>
        <w:pStyle w:val="Zkladntext"/>
        <w:widowControl w:val="0"/>
        <w:numPr>
          <w:ilvl w:val="1"/>
          <w:numId w:val="19"/>
        </w:numPr>
        <w:spacing w:after="0" w:line="240" w:lineRule="auto"/>
        <w:ind w:right="551"/>
        <w:rPr>
          <w:rFonts w:asciiTheme="minorHAnsi" w:hAnsiTheme="minorHAnsi" w:cstheme="minorHAnsi"/>
          <w:spacing w:val="12"/>
          <w:sz w:val="22"/>
          <w:szCs w:val="22"/>
        </w:rPr>
      </w:pPr>
    </w:p>
    <w:p w:rsidR="005E70DF" w:rsidRDefault="005E70DF" w:rsidP="00554053">
      <w:pPr>
        <w:pStyle w:val="Zkladntext"/>
        <w:widowControl w:val="0"/>
        <w:spacing w:after="0" w:line="240" w:lineRule="auto"/>
        <w:ind w:right="551"/>
        <w:rPr>
          <w:rFonts w:cs="Arial"/>
          <w:spacing w:val="12"/>
          <w:sz w:val="22"/>
          <w:szCs w:val="22"/>
        </w:rPr>
      </w:pPr>
    </w:p>
    <w:p w:rsidR="00826E90" w:rsidRDefault="00826E90" w:rsidP="00554053">
      <w:pPr>
        <w:pStyle w:val="Nadpis3"/>
      </w:pPr>
      <w:bookmarkStart w:id="11" w:name="_Toc9940765"/>
      <w:r>
        <w:t>Related Projects</w:t>
      </w:r>
      <w:bookmarkEnd w:id="11"/>
    </w:p>
    <w:p w:rsidR="009229D6" w:rsidRPr="006429DA" w:rsidRDefault="00826E90" w:rsidP="00554053">
      <w:pPr>
        <w:pStyle w:val="Zkladntext"/>
        <w:rPr>
          <w:rFonts w:cs="Arial"/>
          <w:sz w:val="22"/>
        </w:rPr>
      </w:pPr>
      <w:r w:rsidRPr="006429DA">
        <w:rPr>
          <w:rFonts w:cs="Arial"/>
          <w:sz w:val="22"/>
        </w:rPr>
        <w:t xml:space="preserve">DIMA </w:t>
      </w:r>
      <w:r w:rsidR="000F2EFE" w:rsidRPr="006429DA">
        <w:rPr>
          <w:rFonts w:cs="Arial"/>
          <w:sz w:val="22"/>
        </w:rPr>
        <w:t xml:space="preserve">- </w:t>
      </w:r>
      <w:r w:rsidR="009229D6" w:rsidRPr="006429DA">
        <w:rPr>
          <w:rFonts w:cs="Arial"/>
          <w:sz w:val="22"/>
        </w:rPr>
        <w:t>A Toolkit for Developing, Implementing and Monitoring Adult Education Strategies</w:t>
      </w:r>
    </w:p>
    <w:p w:rsidR="00826E90" w:rsidRPr="006429DA" w:rsidRDefault="009229D6" w:rsidP="009229D6">
      <w:pPr>
        <w:pStyle w:val="Zkladntext"/>
        <w:numPr>
          <w:ilvl w:val="0"/>
          <w:numId w:val="19"/>
        </w:numPr>
        <w:rPr>
          <w:rFonts w:cs="Arial"/>
          <w:sz w:val="22"/>
        </w:rPr>
      </w:pPr>
      <w:r w:rsidRPr="006429DA">
        <w:rPr>
          <w:rFonts w:cs="Arial"/>
          <w:sz w:val="22"/>
        </w:rPr>
        <w:t>It is an Erasmus+ program that aims to develop a practical toolkit for developing and monitoring strategies on Adult Education. The Slovak partner was the National Institute of Lifelong Learning.</w:t>
      </w:r>
    </w:p>
    <w:p w:rsidR="00826E90" w:rsidRPr="006429DA" w:rsidRDefault="00826E90" w:rsidP="00554053">
      <w:pPr>
        <w:pStyle w:val="Zkladntext"/>
        <w:rPr>
          <w:rFonts w:cs="Arial"/>
          <w:sz w:val="22"/>
        </w:rPr>
      </w:pPr>
      <w:r w:rsidRPr="006429DA">
        <w:rPr>
          <w:rFonts w:cs="Arial"/>
          <w:sz w:val="22"/>
        </w:rPr>
        <w:t>ENLIVEN </w:t>
      </w:r>
      <w:r w:rsidR="000F2EFE" w:rsidRPr="006429DA">
        <w:rPr>
          <w:rFonts w:cs="Arial"/>
          <w:sz w:val="22"/>
        </w:rPr>
        <w:t>– Encouraging Lifelong Learning for an Inclusive and Vibrant Europe</w:t>
      </w:r>
    </w:p>
    <w:p w:rsidR="000F2EFE" w:rsidRPr="006429DA" w:rsidRDefault="000F2EFE" w:rsidP="000F2EFE">
      <w:pPr>
        <w:pStyle w:val="Zkladntext"/>
        <w:numPr>
          <w:ilvl w:val="0"/>
          <w:numId w:val="19"/>
        </w:numPr>
        <w:rPr>
          <w:rFonts w:cs="Arial"/>
          <w:sz w:val="22"/>
        </w:rPr>
      </w:pPr>
      <w:r w:rsidRPr="006429DA">
        <w:rPr>
          <w:rFonts w:cs="Arial"/>
          <w:sz w:val="22"/>
        </w:rPr>
        <w:t xml:space="preserve">It is a Horizon 2020 research project, Oct 2016 – Sept 2019, implemented in Slovakia by </w:t>
      </w:r>
      <w:r w:rsidRPr="00B90ED0">
        <w:rPr>
          <w:rFonts w:cs="Arial"/>
          <w:iCs/>
          <w:sz w:val="22"/>
        </w:rPr>
        <w:t>the Institute for Forecasting, Centre of Social and Psychological Sciences, Slovak Academy of Sciences</w:t>
      </w:r>
      <w:r w:rsidRPr="006429DA">
        <w:rPr>
          <w:rFonts w:cs="Arial"/>
          <w:i/>
          <w:iCs/>
          <w:sz w:val="22"/>
        </w:rPr>
        <w:t>.</w:t>
      </w:r>
      <w:r w:rsidRPr="006429DA">
        <w:rPr>
          <w:rFonts w:cs="Arial"/>
          <w:iCs/>
          <w:sz w:val="22"/>
        </w:rPr>
        <w:t xml:space="preserve"> Its aim is to support policy debate, policy formation and policy evaluation in lifelong learning, focusing on the needs of today´s young adults.</w:t>
      </w:r>
    </w:p>
    <w:p w:rsidR="00305768" w:rsidRPr="006429DA" w:rsidRDefault="00305768" w:rsidP="00554053">
      <w:pPr>
        <w:pStyle w:val="Zkladntext"/>
        <w:rPr>
          <w:rFonts w:cs="Arial"/>
          <w:sz w:val="24"/>
          <w:szCs w:val="22"/>
        </w:rPr>
      </w:pPr>
      <w:r w:rsidRPr="006429DA">
        <w:rPr>
          <w:rFonts w:cs="Arial"/>
          <w:sz w:val="24"/>
          <w:szCs w:val="22"/>
        </w:rPr>
        <w:t>Analysis of determinants of regional adult education designs</w:t>
      </w:r>
    </w:p>
    <w:p w:rsidR="00826E90" w:rsidRPr="006429DA" w:rsidRDefault="00305768" w:rsidP="00305768">
      <w:pPr>
        <w:pStyle w:val="Zkladntext"/>
        <w:numPr>
          <w:ilvl w:val="0"/>
          <w:numId w:val="19"/>
        </w:numPr>
        <w:rPr>
          <w:rFonts w:cs="Arial"/>
          <w:sz w:val="22"/>
        </w:rPr>
      </w:pPr>
      <w:r w:rsidRPr="006429DA">
        <w:rPr>
          <w:rFonts w:cs="Arial"/>
          <w:sz w:val="24"/>
          <w:szCs w:val="22"/>
        </w:rPr>
        <w:lastRenderedPageBreak/>
        <w:t xml:space="preserve">It is a VEGA project number VEGA 1/0355/2016, 2016-2018, implemented by the  </w:t>
      </w:r>
      <w:r w:rsidRPr="006429DA">
        <w:rPr>
          <w:rFonts w:cs="Arial"/>
          <w:sz w:val="22"/>
        </w:rPr>
        <w:t>School of Economics and Management of Public Administration in Bratislava</w:t>
      </w:r>
      <w:r w:rsidR="009229D6" w:rsidRPr="006429DA">
        <w:rPr>
          <w:rFonts w:cs="Arial"/>
          <w:sz w:val="22"/>
        </w:rPr>
        <w:t xml:space="preserve"> </w:t>
      </w:r>
      <w:r w:rsidRPr="006429DA">
        <w:rPr>
          <w:rFonts w:cs="Arial"/>
          <w:sz w:val="22"/>
        </w:rPr>
        <w:t>that aims to bring insights into selected aspects of adult education in regional context</w:t>
      </w:r>
    </w:p>
    <w:p w:rsidR="00826E90" w:rsidRPr="006429DA" w:rsidRDefault="00826E90" w:rsidP="00554053">
      <w:pPr>
        <w:pStyle w:val="Zkladntext"/>
        <w:rPr>
          <w:rFonts w:cs="Arial"/>
          <w:sz w:val="22"/>
        </w:rPr>
      </w:pPr>
      <w:r w:rsidRPr="006429DA">
        <w:rPr>
          <w:rFonts w:cs="Arial"/>
          <w:sz w:val="22"/>
        </w:rPr>
        <w:t>BLUESS</w:t>
      </w:r>
      <w:r w:rsidR="006429DA" w:rsidRPr="006429DA">
        <w:rPr>
          <w:rFonts w:cs="Arial"/>
          <w:sz w:val="22"/>
        </w:rPr>
        <w:t xml:space="preserve"> – Blueprints for Basic Skills Development in Slovakia</w:t>
      </w:r>
    </w:p>
    <w:p w:rsidR="00305768" w:rsidRPr="006429DA" w:rsidRDefault="00305768" w:rsidP="00691883">
      <w:pPr>
        <w:pStyle w:val="Zkladntext"/>
        <w:numPr>
          <w:ilvl w:val="0"/>
          <w:numId w:val="19"/>
        </w:numPr>
        <w:rPr>
          <w:rFonts w:cs="Arial"/>
          <w:sz w:val="22"/>
        </w:rPr>
      </w:pPr>
      <w:r w:rsidRPr="006429DA">
        <w:rPr>
          <w:rFonts w:cs="Arial"/>
          <w:sz w:val="22"/>
        </w:rPr>
        <w:t xml:space="preserve">It is an EaSI project </w:t>
      </w:r>
      <w:r w:rsidR="006429DA" w:rsidRPr="006429DA">
        <w:rPr>
          <w:rFonts w:cs="Arial"/>
          <w:sz w:val="22"/>
        </w:rPr>
        <w:t>(</w:t>
      </w:r>
      <w:r w:rsidRPr="006429DA">
        <w:rPr>
          <w:rFonts w:cs="Arial"/>
          <w:sz w:val="22"/>
        </w:rPr>
        <w:t>Support for the</w:t>
      </w:r>
      <w:r w:rsidR="006429DA" w:rsidRPr="006429DA">
        <w:rPr>
          <w:rFonts w:cs="Arial"/>
          <w:sz w:val="22"/>
        </w:rPr>
        <w:t xml:space="preserve"> </w:t>
      </w:r>
      <w:r w:rsidRPr="006429DA">
        <w:rPr>
          <w:rFonts w:cs="Arial"/>
          <w:sz w:val="22"/>
        </w:rPr>
        <w:t>deployment of skills assessment in the</w:t>
      </w:r>
      <w:r w:rsidR="006429DA" w:rsidRPr="006429DA">
        <w:rPr>
          <w:rFonts w:cs="Arial"/>
          <w:sz w:val="22"/>
        </w:rPr>
        <w:t xml:space="preserve"> </w:t>
      </w:r>
      <w:r w:rsidRPr="006429DA">
        <w:rPr>
          <w:rFonts w:cs="Arial"/>
          <w:sz w:val="22"/>
        </w:rPr>
        <w:t>implementation of Upskilling Pathways</w:t>
      </w:r>
      <w:r w:rsidR="006429DA" w:rsidRPr="006429DA">
        <w:rPr>
          <w:rFonts w:cs="Arial"/>
          <w:sz w:val="22"/>
        </w:rPr>
        <w:t xml:space="preserve">, </w:t>
      </w:r>
      <w:r w:rsidRPr="006429DA">
        <w:rPr>
          <w:rFonts w:cs="Arial"/>
          <w:sz w:val="22"/>
        </w:rPr>
        <w:t>VP/2018/008/0008)</w:t>
      </w:r>
      <w:r w:rsidR="006429DA" w:rsidRPr="006429DA">
        <w:rPr>
          <w:rFonts w:cs="Arial"/>
          <w:sz w:val="22"/>
        </w:rPr>
        <w:t>, 2019-2020, implemented in Slovak</w:t>
      </w:r>
      <w:r w:rsidR="004119A6">
        <w:rPr>
          <w:rFonts w:cs="Arial"/>
          <w:sz w:val="22"/>
        </w:rPr>
        <w:t>i</w:t>
      </w:r>
      <w:r w:rsidR="006429DA" w:rsidRPr="006429DA">
        <w:rPr>
          <w:rFonts w:cs="Arial"/>
          <w:sz w:val="22"/>
        </w:rPr>
        <w:t>a by the Labour Office, State Institute for Vocational E</w:t>
      </w:r>
      <w:r w:rsidR="004119A6">
        <w:rPr>
          <w:rFonts w:cs="Arial"/>
          <w:sz w:val="22"/>
        </w:rPr>
        <w:t>d</w:t>
      </w:r>
      <w:r w:rsidR="006429DA" w:rsidRPr="006429DA">
        <w:rPr>
          <w:rFonts w:cs="Arial"/>
          <w:sz w:val="22"/>
        </w:rPr>
        <w:t>u</w:t>
      </w:r>
      <w:r w:rsidR="004119A6">
        <w:rPr>
          <w:rFonts w:cs="Arial"/>
          <w:sz w:val="22"/>
        </w:rPr>
        <w:t>c</w:t>
      </w:r>
      <w:r w:rsidR="006429DA" w:rsidRPr="006429DA">
        <w:rPr>
          <w:rFonts w:cs="Arial"/>
          <w:sz w:val="22"/>
        </w:rPr>
        <w:t>ation and Association of Institutions of Adult Education. Its aim is to develop and implement a national strategy in basic skills for adults.</w:t>
      </w:r>
    </w:p>
    <w:p w:rsidR="005E70DF" w:rsidRPr="00A8589E" w:rsidRDefault="00826E90" w:rsidP="00554053">
      <w:pPr>
        <w:pStyle w:val="Nadpis3"/>
        <w:numPr>
          <w:ilvl w:val="0"/>
          <w:numId w:val="0"/>
        </w:numPr>
        <w:ind w:left="826"/>
      </w:pPr>
      <w:r>
        <w:t xml:space="preserve"> </w:t>
      </w:r>
    </w:p>
    <w:p w:rsidR="00A942E5" w:rsidRDefault="005E70DF" w:rsidP="00554053">
      <w:pPr>
        <w:pStyle w:val="Nadpis3"/>
      </w:pPr>
      <w:bookmarkStart w:id="12" w:name="_Toc9940766"/>
      <w:r>
        <w:t>Statistics</w:t>
      </w:r>
      <w:bookmarkEnd w:id="12"/>
    </w:p>
    <w:p w:rsidR="00236ECB" w:rsidRPr="005455B0" w:rsidRDefault="00236ECB" w:rsidP="00554053">
      <w:pPr>
        <w:spacing w:before="240" w:after="240"/>
        <w:jc w:val="both"/>
        <w:rPr>
          <w:rFonts w:cs="Arial"/>
          <w:sz w:val="28"/>
        </w:rPr>
      </w:pPr>
      <w:r w:rsidRPr="005455B0">
        <w:rPr>
          <w:rFonts w:cs="Arial"/>
          <w:sz w:val="22"/>
          <w:szCs w:val="20"/>
        </w:rPr>
        <w:t>Slovakia is consistently at the bottom of the list of the EU member states participating in LLL</w:t>
      </w:r>
      <w:r w:rsidR="005A18F7" w:rsidRPr="005455B0">
        <w:rPr>
          <w:rFonts w:cs="Arial"/>
          <w:sz w:val="22"/>
          <w:szCs w:val="20"/>
        </w:rPr>
        <w:t>.</w:t>
      </w:r>
      <w:r w:rsidRPr="005455B0">
        <w:rPr>
          <w:rFonts w:cs="Arial"/>
          <w:sz w:val="22"/>
          <w:szCs w:val="20"/>
        </w:rPr>
        <w:t xml:space="preserve"> The reasons of low participation of adults in lifelong learning include a high participation in initial education (including VET), relatively little investment in training for the unemployed, and lack of financial and non-financial incentives for adults to participate in learning. </w:t>
      </w:r>
    </w:p>
    <w:p w:rsidR="00236ECB" w:rsidRPr="005455B0" w:rsidRDefault="00236ECB" w:rsidP="00554053">
      <w:pPr>
        <w:spacing w:after="240"/>
        <w:jc w:val="both"/>
        <w:rPr>
          <w:rFonts w:cs="Arial"/>
          <w:sz w:val="28"/>
        </w:rPr>
      </w:pPr>
      <w:r w:rsidRPr="005455B0">
        <w:rPr>
          <w:rFonts w:cs="Arial"/>
          <w:sz w:val="22"/>
          <w:szCs w:val="20"/>
        </w:rPr>
        <w:t xml:space="preserve">Further education is not a motivation for most adults, since at the moment it does not lead to obtaining a new degree or qualification that would increase their chances at the labour market. Moreover, there is no way to validate the results of further education. 90% of programmes are oriented professionally, targeting the needs of employers. A sociological survey in 2008-2010 confirmed that the education was not among the most important values for adults. It scored 16th out of 20 values. </w:t>
      </w:r>
    </w:p>
    <w:p w:rsidR="00236ECB" w:rsidRPr="005455B0" w:rsidRDefault="005A18F7" w:rsidP="00554053">
      <w:pPr>
        <w:spacing w:after="240"/>
        <w:jc w:val="both"/>
        <w:rPr>
          <w:rFonts w:cs="Arial"/>
          <w:sz w:val="28"/>
        </w:rPr>
      </w:pPr>
      <w:r w:rsidRPr="005455B0">
        <w:rPr>
          <w:rFonts w:cs="Arial"/>
          <w:sz w:val="22"/>
          <w:szCs w:val="20"/>
        </w:rPr>
        <w:t>The main statistics c</w:t>
      </w:r>
      <w:r w:rsidR="00236ECB" w:rsidRPr="005455B0">
        <w:rPr>
          <w:rFonts w:cs="Arial"/>
          <w:sz w:val="22"/>
          <w:szCs w:val="20"/>
        </w:rPr>
        <w:t>omes from the EUROSTAT/Labour Force Survey.</w:t>
      </w:r>
      <w:r w:rsidR="00236ECB" w:rsidRPr="005455B0">
        <w:rPr>
          <w:rFonts w:cs="Arial"/>
          <w:b/>
          <w:sz w:val="22"/>
          <w:szCs w:val="20"/>
        </w:rPr>
        <w:t xml:space="preserve"> </w:t>
      </w:r>
      <w:r w:rsidR="00236ECB" w:rsidRPr="005455B0">
        <w:rPr>
          <w:rFonts w:cs="Arial"/>
          <w:sz w:val="22"/>
          <w:szCs w:val="20"/>
        </w:rPr>
        <w:t>Lifelong learning refers here to persons aged 25 to 64 who stated that they received education or training in the four weeks preceding the survey.</w:t>
      </w:r>
    </w:p>
    <w:p w:rsidR="00236ECB" w:rsidRPr="005455B0" w:rsidRDefault="00236ECB" w:rsidP="00554053">
      <w:pPr>
        <w:spacing w:after="240"/>
        <w:jc w:val="both"/>
        <w:rPr>
          <w:rFonts w:cs="Arial"/>
          <w:sz w:val="22"/>
          <w:szCs w:val="20"/>
        </w:rPr>
      </w:pPr>
      <w:r w:rsidRPr="005455B0">
        <w:rPr>
          <w:rFonts w:cs="Arial"/>
          <w:sz w:val="22"/>
          <w:szCs w:val="20"/>
        </w:rPr>
        <w:t>There is also the Adult Education Survey (AES) which covers adult participation in education and training (formal, non-formal and informal learning), and is one of the main data sources for EU lifelong learning statistics. The AES focuses on the same age group people living in private households. The reference period for the participation in education and training is the twelve months prior to the interview and the numbers are muc</w:t>
      </w:r>
      <w:r w:rsidR="005A18F7" w:rsidRPr="005455B0">
        <w:rPr>
          <w:rFonts w:cs="Arial"/>
          <w:sz w:val="22"/>
          <w:szCs w:val="20"/>
        </w:rPr>
        <w:t xml:space="preserve">h higher – for Slovakia it is </w:t>
      </w:r>
      <w:r w:rsidR="000305AA" w:rsidRPr="005455B0">
        <w:rPr>
          <w:rFonts w:cs="Arial"/>
          <w:sz w:val="22"/>
          <w:szCs w:val="20"/>
        </w:rPr>
        <w:t>46,1% in 2016. THE AES survey is conducted every 4 years only.</w:t>
      </w:r>
    </w:p>
    <w:p w:rsidR="000305AA" w:rsidRDefault="000305AA" w:rsidP="00554053">
      <w:pPr>
        <w:spacing w:after="240"/>
        <w:jc w:val="both"/>
        <w:rPr>
          <w:rFonts w:cs="Arial"/>
          <w:sz w:val="20"/>
          <w:szCs w:val="20"/>
        </w:rPr>
      </w:pPr>
      <w:r w:rsidRPr="005455B0">
        <w:rPr>
          <w:rFonts w:cs="Arial"/>
          <w:sz w:val="22"/>
          <w:szCs w:val="20"/>
        </w:rPr>
        <w:t>A deeper analysis of statistical data and participation of adults in lifelong learning is in a separate document Participation of adults in learning in Slovakia prepared for MOVED.</w:t>
      </w:r>
    </w:p>
    <w:p w:rsidR="006975DD" w:rsidRDefault="006975DD" w:rsidP="00554053">
      <w:pPr>
        <w:pStyle w:val="Nadpis3"/>
      </w:pPr>
      <w:bookmarkStart w:id="13" w:name="_Toc9940767"/>
      <w:r>
        <w:t xml:space="preserve">Findings </w:t>
      </w:r>
      <w:r w:rsidR="0086749E">
        <w:t xml:space="preserve">on selected </w:t>
      </w:r>
      <w:r>
        <w:t>topics</w:t>
      </w:r>
      <w:bookmarkEnd w:id="13"/>
    </w:p>
    <w:p w:rsidR="006975DD" w:rsidRPr="000305AA" w:rsidRDefault="006975DD" w:rsidP="00554053">
      <w:pPr>
        <w:pStyle w:val="Zkladntext"/>
        <w:ind w:right="551"/>
      </w:pPr>
      <w:r w:rsidRPr="000305AA">
        <w:t>The data on some topics were collected through the desk research</w:t>
      </w:r>
      <w:r w:rsidR="0041687F" w:rsidRPr="000305AA">
        <w:t xml:space="preserve"> by our colleagues from the partner institutions:</w:t>
      </w:r>
    </w:p>
    <w:p w:rsidR="006975DD" w:rsidRDefault="006975DD" w:rsidP="00554053">
      <w:pPr>
        <w:pStyle w:val="Nadpis4"/>
      </w:pPr>
      <w:r w:rsidRPr="00A8589E">
        <w:t xml:space="preserve">Cultural and Awareness-raising </w:t>
      </w:r>
      <w:r w:rsidR="000305AA">
        <w:t>I</w:t>
      </w:r>
      <w:r w:rsidRPr="00A8589E">
        <w:t>nstitutions</w:t>
      </w:r>
    </w:p>
    <w:p w:rsidR="000305AA" w:rsidRDefault="000305AA" w:rsidP="00554053">
      <w:pPr>
        <w:pStyle w:val="Zkladntext"/>
      </w:pPr>
    </w:p>
    <w:p w:rsidR="00D21F09" w:rsidRPr="000305AA" w:rsidRDefault="00D21F09" w:rsidP="00554053">
      <w:pPr>
        <w:pStyle w:val="Zkladntext"/>
        <w:rPr>
          <w:sz w:val="22"/>
        </w:rPr>
      </w:pPr>
      <w:r w:rsidRPr="000305AA">
        <w:rPr>
          <w:sz w:val="22"/>
        </w:rPr>
        <w:lastRenderedPageBreak/>
        <w:t xml:space="preserve">According to the Act on culture and awareness raising activities, these activities should contribute to cultural and educational level of Slovak citizens. </w:t>
      </w:r>
      <w:r w:rsidR="00517FE7" w:rsidRPr="000305AA">
        <w:rPr>
          <w:sz w:val="22"/>
        </w:rPr>
        <w:t xml:space="preserve">The centres of cultural and awareness-raising activities are responsible, inter alia, for non-formal education in the area of culture, prevention of negative social phenomena as well as in the area of astronomy. There is a coordination body on the national level – National awareness-raising centre </w:t>
      </w:r>
      <w:r w:rsidR="003B6155" w:rsidRPr="000305AA">
        <w:rPr>
          <w:sz w:val="22"/>
        </w:rPr>
        <w:t>(They mainly register various bodies active in the area of culture and provide training to the staff of centres</w:t>
      </w:r>
      <w:r w:rsidR="00835642" w:rsidRPr="000305AA">
        <w:rPr>
          <w:sz w:val="22"/>
        </w:rPr>
        <w:t xml:space="preserve">, without any specific </w:t>
      </w:r>
      <w:r w:rsidR="000305AA" w:rsidRPr="000305AA">
        <w:rPr>
          <w:sz w:val="22"/>
        </w:rPr>
        <w:t xml:space="preserve">training </w:t>
      </w:r>
      <w:r w:rsidR="00835642" w:rsidRPr="000305AA">
        <w:rPr>
          <w:sz w:val="22"/>
        </w:rPr>
        <w:t>strategy</w:t>
      </w:r>
      <w:r w:rsidR="003B6155" w:rsidRPr="000305AA">
        <w:rPr>
          <w:sz w:val="22"/>
        </w:rPr>
        <w:t xml:space="preserve">.) </w:t>
      </w:r>
      <w:r w:rsidR="00517FE7" w:rsidRPr="000305AA">
        <w:rPr>
          <w:sz w:val="22"/>
        </w:rPr>
        <w:t xml:space="preserve">and a network of centres established on regional or local levels. </w:t>
      </w:r>
      <w:r w:rsidR="003B6155" w:rsidRPr="000305AA">
        <w:rPr>
          <w:sz w:val="22"/>
        </w:rPr>
        <w:t>The individual centres usually reflect the demand of public in their activities</w:t>
      </w:r>
      <w:r w:rsidR="003B6155" w:rsidRPr="002E612A">
        <w:rPr>
          <w:sz w:val="22"/>
        </w:rPr>
        <w:t>.</w:t>
      </w:r>
      <w:r w:rsidR="004119A6" w:rsidRPr="002E612A">
        <w:rPr>
          <w:sz w:val="22"/>
        </w:rPr>
        <w:t xml:space="preserve"> </w:t>
      </w:r>
      <w:r w:rsidR="000C63B5" w:rsidRPr="002E612A">
        <w:rPr>
          <w:sz w:val="22"/>
        </w:rPr>
        <w:t>The centres respond to the demands of self-governing regions as to cultural and interest education and they are financed by them. Apart from this</w:t>
      </w:r>
      <w:r w:rsidR="002E612A" w:rsidRPr="002E612A">
        <w:rPr>
          <w:sz w:val="22"/>
        </w:rPr>
        <w:t xml:space="preserve"> financing</w:t>
      </w:r>
      <w:r w:rsidR="000C63B5" w:rsidRPr="002E612A">
        <w:rPr>
          <w:sz w:val="22"/>
        </w:rPr>
        <w:t>, they apply for various grants.</w:t>
      </w:r>
      <w:r w:rsidR="004119A6">
        <w:rPr>
          <w:sz w:val="22"/>
        </w:rPr>
        <w:t xml:space="preserve"> </w:t>
      </w:r>
    </w:p>
    <w:p w:rsidR="006975DD" w:rsidRDefault="0086749E" w:rsidP="00554053">
      <w:pPr>
        <w:pStyle w:val="Nadpis4"/>
      </w:pPr>
      <w:r>
        <w:t>Further Education provided by Employers</w:t>
      </w:r>
    </w:p>
    <w:p w:rsidR="00006901" w:rsidRDefault="00006901" w:rsidP="00554053">
      <w:pPr>
        <w:pStyle w:val="Zkladntext"/>
        <w:widowControl w:val="0"/>
        <w:spacing w:after="0" w:line="240" w:lineRule="auto"/>
        <w:ind w:right="551"/>
        <w:rPr>
          <w:rFonts w:cs="Arial"/>
          <w:spacing w:val="12"/>
          <w:sz w:val="22"/>
          <w:szCs w:val="22"/>
        </w:rPr>
      </w:pPr>
    </w:p>
    <w:p w:rsidR="0086749E" w:rsidRPr="000305AA" w:rsidRDefault="0086749E" w:rsidP="000305AA">
      <w:pPr>
        <w:pStyle w:val="Zkladntext"/>
        <w:widowControl w:val="0"/>
        <w:spacing w:after="0" w:line="240" w:lineRule="auto"/>
        <w:rPr>
          <w:sz w:val="22"/>
        </w:rPr>
      </w:pPr>
      <w:r w:rsidRPr="000305AA">
        <w:rPr>
          <w:sz w:val="22"/>
        </w:rPr>
        <w:t xml:space="preserve">Since people spend approximately a third of their active time working, the employers become very important players in adult education. Apart from employers, there are also Professional Associations, Chambers of Commerce, Sector Councils.  Legislation such as Labour Code, Employment Services, Act on LLL, Act on Vocational Training as well as a number of sector/trade specific acts support/require further education. </w:t>
      </w:r>
      <w:r w:rsidR="000940A6" w:rsidRPr="000305AA">
        <w:rPr>
          <w:sz w:val="22"/>
        </w:rPr>
        <w:t>The coordination of these players is very important with regard to transformation of the labour market and the skills needed in the future</w:t>
      </w:r>
      <w:r w:rsidR="000305AA">
        <w:rPr>
          <w:sz w:val="22"/>
        </w:rPr>
        <w:t>,</w:t>
      </w:r>
      <w:r w:rsidR="000940A6" w:rsidRPr="000305AA">
        <w:rPr>
          <w:sz w:val="22"/>
        </w:rPr>
        <w:t xml:space="preserve"> known as Industry 4.0 and Labour 4.0.</w:t>
      </w:r>
    </w:p>
    <w:p w:rsidR="007D1283" w:rsidRPr="00A8589E" w:rsidRDefault="007D1283" w:rsidP="00554053">
      <w:pPr>
        <w:pStyle w:val="Zkladntext"/>
        <w:widowControl w:val="0"/>
        <w:spacing w:after="0" w:line="240" w:lineRule="auto"/>
        <w:ind w:right="551"/>
        <w:rPr>
          <w:rFonts w:cs="Arial"/>
          <w:spacing w:val="12"/>
          <w:sz w:val="22"/>
          <w:szCs w:val="22"/>
        </w:rPr>
      </w:pPr>
    </w:p>
    <w:p w:rsidR="006975DD" w:rsidRDefault="006975DD" w:rsidP="00554053">
      <w:pPr>
        <w:pStyle w:val="Nadpis4"/>
      </w:pPr>
      <w:r w:rsidRPr="00A8589E">
        <w:t>Career guidance and counselling and Adult Education in Active Measures of Job Market (Labour Office measures)</w:t>
      </w:r>
    </w:p>
    <w:p w:rsidR="002E612A" w:rsidRPr="002E612A" w:rsidRDefault="002E612A" w:rsidP="002E612A">
      <w:pPr>
        <w:pStyle w:val="Zkladntext"/>
        <w:spacing w:after="0"/>
      </w:pPr>
    </w:p>
    <w:p w:rsidR="000E3EBA" w:rsidRPr="000305AA" w:rsidRDefault="000E3EBA" w:rsidP="002E612A">
      <w:pPr>
        <w:pStyle w:val="Zkladntext"/>
        <w:spacing w:after="0"/>
        <w:rPr>
          <w:sz w:val="22"/>
        </w:rPr>
      </w:pPr>
      <w:r w:rsidRPr="000305AA">
        <w:rPr>
          <w:sz w:val="22"/>
        </w:rPr>
        <w:t xml:space="preserve">The topic of career guidance shall be dealt with in a separate section. Here </w:t>
      </w:r>
      <w:r w:rsidR="00564DBA" w:rsidRPr="000305AA">
        <w:rPr>
          <w:sz w:val="22"/>
        </w:rPr>
        <w:t xml:space="preserve">we introduce some measures aimed at supporting the unemployed/job seekers through </w:t>
      </w:r>
      <w:r w:rsidR="002F0919" w:rsidRPr="000305AA">
        <w:rPr>
          <w:sz w:val="22"/>
        </w:rPr>
        <w:t xml:space="preserve">education and </w:t>
      </w:r>
      <w:r w:rsidR="00564DBA" w:rsidRPr="000305AA">
        <w:rPr>
          <w:sz w:val="22"/>
        </w:rPr>
        <w:t>training. This is defined by</w:t>
      </w:r>
      <w:r w:rsidR="002F0919" w:rsidRPr="000305AA">
        <w:rPr>
          <w:sz w:val="22"/>
        </w:rPr>
        <w:t xml:space="preserve"> the Act on Employment Services, paras 46 (7) and 47 (4) – training initiated by a job seeker, by the labour office or by an employer. These measures are financed mainly through ESIF/national projects REPAS, REPAS+ (re-qualification), KOMPAS+ (selected key competences). </w:t>
      </w:r>
    </w:p>
    <w:p w:rsidR="006975DD" w:rsidRDefault="006975DD" w:rsidP="00554053">
      <w:pPr>
        <w:pStyle w:val="Nadpis4"/>
      </w:pPr>
      <w:r w:rsidRPr="00A8589E">
        <w:t>Universities as AE providers</w:t>
      </w:r>
    </w:p>
    <w:p w:rsidR="000E3EBA" w:rsidRDefault="000E3EBA" w:rsidP="00554053">
      <w:pPr>
        <w:pStyle w:val="Zkladntext"/>
        <w:widowControl w:val="0"/>
        <w:spacing w:after="0" w:line="240" w:lineRule="auto"/>
        <w:ind w:right="551"/>
        <w:rPr>
          <w:rFonts w:cs="Arial"/>
          <w:spacing w:val="12"/>
          <w:sz w:val="22"/>
          <w:szCs w:val="22"/>
        </w:rPr>
      </w:pPr>
    </w:p>
    <w:p w:rsidR="004E4ACE" w:rsidRPr="000305AA" w:rsidRDefault="004E4ACE" w:rsidP="002E612A">
      <w:pPr>
        <w:pStyle w:val="Zkladntext"/>
        <w:widowControl w:val="0"/>
        <w:spacing w:after="0" w:line="276" w:lineRule="auto"/>
        <w:rPr>
          <w:sz w:val="22"/>
        </w:rPr>
      </w:pPr>
      <w:r w:rsidRPr="000305AA">
        <w:rPr>
          <w:sz w:val="22"/>
        </w:rPr>
        <w:t>The universities are active in the AE area in several ways. This text analyses the long-term strategies of universities in order to see the location of Adult education.</w:t>
      </w:r>
      <w:r w:rsidR="00F67639" w:rsidRPr="000305AA">
        <w:rPr>
          <w:sz w:val="22"/>
        </w:rPr>
        <w:t xml:space="preserve"> Further</w:t>
      </w:r>
      <w:r w:rsidR="004119A6">
        <w:rPr>
          <w:sz w:val="22"/>
        </w:rPr>
        <w:t>,</w:t>
      </w:r>
      <w:r w:rsidR="00F67639" w:rsidRPr="000305AA">
        <w:rPr>
          <w:sz w:val="22"/>
        </w:rPr>
        <w:t xml:space="preserve"> it examines the legislative framework in which the universities can pursue the adult education activities – formal, as well as non-formal. Special attention is put on so-called “third role” of universities, apart from education and research, their role in regional development. In practical terms, the adult education is realised mainly through </w:t>
      </w:r>
      <w:r w:rsidR="002E612A">
        <w:rPr>
          <w:sz w:val="22"/>
        </w:rPr>
        <w:t>the university departments,</w:t>
      </w:r>
      <w:r w:rsidR="004119A6">
        <w:rPr>
          <w:sz w:val="22"/>
        </w:rPr>
        <w:t xml:space="preserve"> </w:t>
      </w:r>
      <w:r w:rsidR="00F67639" w:rsidRPr="000305AA">
        <w:rPr>
          <w:sz w:val="22"/>
        </w:rPr>
        <w:t>the centres of further education and univers</w:t>
      </w:r>
      <w:r w:rsidR="00A344E8">
        <w:rPr>
          <w:sz w:val="22"/>
        </w:rPr>
        <w:t>i</w:t>
      </w:r>
      <w:r w:rsidR="00F67639" w:rsidRPr="000305AA">
        <w:rPr>
          <w:sz w:val="22"/>
        </w:rPr>
        <w:t>tie</w:t>
      </w:r>
      <w:r w:rsidR="00A344E8">
        <w:rPr>
          <w:sz w:val="22"/>
        </w:rPr>
        <w:t>s</w:t>
      </w:r>
      <w:r w:rsidR="00F67639" w:rsidRPr="000305AA">
        <w:rPr>
          <w:sz w:val="22"/>
        </w:rPr>
        <w:t xml:space="preserve"> of </w:t>
      </w:r>
      <w:r w:rsidR="00A344E8">
        <w:rPr>
          <w:sz w:val="22"/>
        </w:rPr>
        <w:t xml:space="preserve">the </w:t>
      </w:r>
      <w:r w:rsidR="00F67639" w:rsidRPr="000305AA">
        <w:rPr>
          <w:sz w:val="22"/>
        </w:rPr>
        <w:t>third age.</w:t>
      </w:r>
    </w:p>
    <w:p w:rsidR="004119A6" w:rsidRPr="00A8589E" w:rsidRDefault="004119A6" w:rsidP="00554053">
      <w:pPr>
        <w:pStyle w:val="Zkladntext"/>
        <w:widowControl w:val="0"/>
        <w:spacing w:after="0" w:line="240" w:lineRule="auto"/>
        <w:ind w:right="551"/>
        <w:rPr>
          <w:rFonts w:cs="Arial"/>
          <w:spacing w:val="12"/>
          <w:sz w:val="22"/>
          <w:szCs w:val="22"/>
        </w:rPr>
      </w:pPr>
    </w:p>
    <w:p w:rsidR="006975DD" w:rsidRDefault="006975DD" w:rsidP="00554053">
      <w:pPr>
        <w:pStyle w:val="Nadpis4"/>
      </w:pPr>
      <w:r w:rsidRPr="00A8589E">
        <w:t>Second Chance Education</w:t>
      </w:r>
    </w:p>
    <w:p w:rsidR="004119A6" w:rsidRPr="002E612A" w:rsidRDefault="004119A6" w:rsidP="002E612A">
      <w:pPr>
        <w:pStyle w:val="Zkladntext"/>
        <w:spacing w:after="0"/>
        <w:rPr>
          <w:sz w:val="22"/>
        </w:rPr>
      </w:pPr>
    </w:p>
    <w:p w:rsidR="000E3EBA" w:rsidRDefault="007D1283" w:rsidP="002E612A">
      <w:pPr>
        <w:pStyle w:val="Zkladntext"/>
        <w:spacing w:after="0"/>
        <w:rPr>
          <w:sz w:val="22"/>
        </w:rPr>
      </w:pPr>
      <w:r w:rsidRPr="002E612A">
        <w:rPr>
          <w:sz w:val="22"/>
        </w:rPr>
        <w:t xml:space="preserve">This type of education is now provided as formal education, on the basis of so-called School Act, either in daily or external form. There is another way how to reach the lower secondary education and that is via the study at the secondary school, a so-called F-specialisation. While the number of people without acquiring the lower middle education level has been </w:t>
      </w:r>
      <w:r w:rsidRPr="002E612A">
        <w:rPr>
          <w:sz w:val="22"/>
        </w:rPr>
        <w:lastRenderedPageBreak/>
        <w:t xml:space="preserve">growing, the number of people registered for second chance education is not. The area of second chance education </w:t>
      </w:r>
      <w:r w:rsidR="00A344E8" w:rsidRPr="002E612A">
        <w:rPr>
          <w:sz w:val="22"/>
        </w:rPr>
        <w:t xml:space="preserve">is </w:t>
      </w:r>
      <w:r w:rsidRPr="002E612A">
        <w:rPr>
          <w:sz w:val="22"/>
        </w:rPr>
        <w:t>often linked to the unemployed group. They are to ch</w:t>
      </w:r>
      <w:r w:rsidR="00C72FD2" w:rsidRPr="002E612A">
        <w:rPr>
          <w:sz w:val="22"/>
        </w:rPr>
        <w:t>oose between an external form of</w:t>
      </w:r>
      <w:r w:rsidRPr="002E612A">
        <w:rPr>
          <w:sz w:val="22"/>
        </w:rPr>
        <w:t xml:space="preserve"> study (and keeping their status and support as unemployed people) or daily study (becoming daily students, and changing their status from unemployed to students). </w:t>
      </w:r>
    </w:p>
    <w:p w:rsidR="002E612A" w:rsidRPr="002E612A" w:rsidRDefault="002E612A" w:rsidP="002E612A">
      <w:pPr>
        <w:pStyle w:val="Zkladntext"/>
        <w:spacing w:after="0"/>
        <w:rPr>
          <w:sz w:val="22"/>
        </w:rPr>
      </w:pPr>
    </w:p>
    <w:p w:rsidR="006975DD" w:rsidRDefault="006975DD" w:rsidP="00554053">
      <w:pPr>
        <w:pStyle w:val="Nadpis4"/>
      </w:pPr>
      <w:r w:rsidRPr="00A8589E">
        <w:t xml:space="preserve">Education of </w:t>
      </w:r>
      <w:r w:rsidR="0092550F">
        <w:t xml:space="preserve">vulnerable groups – esp. </w:t>
      </w:r>
      <w:r w:rsidRPr="00A8589E">
        <w:t>Roma from marginalised communities</w:t>
      </w:r>
      <w:r w:rsidR="0092550F">
        <w:t xml:space="preserve"> and migrants</w:t>
      </w:r>
    </w:p>
    <w:p w:rsidR="0092550F" w:rsidRDefault="0092550F" w:rsidP="00554053">
      <w:pPr>
        <w:pStyle w:val="Zkladntext"/>
      </w:pPr>
    </w:p>
    <w:p w:rsidR="0092550F" w:rsidRPr="00A344E8" w:rsidRDefault="0092550F" w:rsidP="00554053">
      <w:pPr>
        <w:pStyle w:val="Zkladntext"/>
        <w:rPr>
          <w:sz w:val="22"/>
        </w:rPr>
      </w:pPr>
      <w:r w:rsidRPr="00A344E8">
        <w:rPr>
          <w:sz w:val="22"/>
        </w:rPr>
        <w:t>Vulnerable groups comprise several groups of people – unemployed, older people, handicapped people, low income people, single mothers, young people, marginalised Roma communities, migrants. We look closer at the last two groups – one is traditionally dealt with, and the other is rather new. In both cases, there are national strategic documents and several instruments to implement them</w:t>
      </w:r>
      <w:r w:rsidR="00E06D84" w:rsidRPr="00A344E8">
        <w:rPr>
          <w:sz w:val="22"/>
        </w:rPr>
        <w:t>, such as national projects financed via ESIF (including the ones dealing with unemployment) and smaller schemes or projects implemented especially by the NGOs. In both case, the approach is based on social work methods, and education is delivered alongside social work. In both case</w:t>
      </w:r>
      <w:r w:rsidR="00A344E8" w:rsidRPr="00A344E8">
        <w:rPr>
          <w:sz w:val="22"/>
        </w:rPr>
        <w:t>s</w:t>
      </w:r>
      <w:r w:rsidR="00E06D84" w:rsidRPr="00A344E8">
        <w:rPr>
          <w:sz w:val="22"/>
        </w:rPr>
        <w:t xml:space="preserve"> strengthening of education elements </w:t>
      </w:r>
      <w:r w:rsidR="00A344E8" w:rsidRPr="00A344E8">
        <w:rPr>
          <w:sz w:val="22"/>
        </w:rPr>
        <w:t>is</w:t>
      </w:r>
      <w:r w:rsidR="00E06D84" w:rsidRPr="00A344E8">
        <w:rPr>
          <w:sz w:val="22"/>
        </w:rPr>
        <w:t xml:space="preserve"> needed.</w:t>
      </w:r>
    </w:p>
    <w:p w:rsidR="00A942E5" w:rsidRPr="00A8589E" w:rsidRDefault="00A942E5" w:rsidP="00554053">
      <w:pPr>
        <w:pStyle w:val="Nadpis2"/>
      </w:pPr>
      <w:bookmarkStart w:id="14" w:name="_Toc9940768"/>
      <w:r w:rsidRPr="00A8589E">
        <w:t>Prim</w:t>
      </w:r>
      <w:r w:rsidR="00A029F9">
        <w:t>a</w:t>
      </w:r>
      <w:r w:rsidRPr="00A8589E">
        <w:t>r</w:t>
      </w:r>
      <w:r w:rsidR="00A029F9">
        <w:t>y Research</w:t>
      </w:r>
      <w:bookmarkEnd w:id="14"/>
      <w:r w:rsidR="00A029F9">
        <w:t xml:space="preserve"> </w:t>
      </w:r>
    </w:p>
    <w:p w:rsidR="003B7AE6" w:rsidRPr="00A344E8" w:rsidRDefault="00A029F9" w:rsidP="00A344E8">
      <w:pPr>
        <w:pStyle w:val="Zkladntext"/>
        <w:rPr>
          <w:sz w:val="22"/>
        </w:rPr>
      </w:pPr>
      <w:r w:rsidRPr="00A344E8">
        <w:rPr>
          <w:sz w:val="22"/>
        </w:rPr>
        <w:t>This part of research was composed of collecting data on practices of self-governing administration on regional and local levels (regions, towns, less developed districts) as well as from the providers of AE.</w:t>
      </w:r>
    </w:p>
    <w:p w:rsidR="0041687F" w:rsidRPr="00A344E8" w:rsidRDefault="0041687F" w:rsidP="00A344E8">
      <w:pPr>
        <w:pStyle w:val="Zkladntext"/>
        <w:rPr>
          <w:sz w:val="22"/>
        </w:rPr>
      </w:pPr>
      <w:r w:rsidRPr="00A344E8">
        <w:rPr>
          <w:sz w:val="22"/>
        </w:rPr>
        <w:t>The Adult education ecosystem is composed of a number of institutions that play partial roles in policy-making and implementation of the AE policies.</w:t>
      </w:r>
    </w:p>
    <w:p w:rsidR="00A942E5" w:rsidRPr="00A344E8" w:rsidRDefault="00A029F9" w:rsidP="00A344E8">
      <w:pPr>
        <w:pStyle w:val="Zkladntext"/>
        <w:rPr>
          <w:sz w:val="22"/>
          <w:szCs w:val="20"/>
        </w:rPr>
      </w:pPr>
      <w:r w:rsidRPr="00A344E8">
        <w:rPr>
          <w:sz w:val="22"/>
          <w:szCs w:val="20"/>
        </w:rPr>
        <w:t>The main tool for collecting the data were questionnaires that were des</w:t>
      </w:r>
      <w:r w:rsidR="0041687F" w:rsidRPr="00A344E8">
        <w:rPr>
          <w:sz w:val="22"/>
          <w:szCs w:val="20"/>
        </w:rPr>
        <w:t>i</w:t>
      </w:r>
      <w:r w:rsidRPr="00A344E8">
        <w:rPr>
          <w:sz w:val="22"/>
          <w:szCs w:val="20"/>
        </w:rPr>
        <w:t>gned on the basis of the desk research.</w:t>
      </w:r>
    </w:p>
    <w:p w:rsidR="00810A01" w:rsidRPr="00A344E8" w:rsidRDefault="00A029F9" w:rsidP="00A344E8">
      <w:pPr>
        <w:pStyle w:val="Zkladntext"/>
        <w:rPr>
          <w:sz w:val="22"/>
          <w:szCs w:val="20"/>
        </w:rPr>
      </w:pPr>
      <w:r w:rsidRPr="00A344E8">
        <w:rPr>
          <w:sz w:val="22"/>
          <w:szCs w:val="20"/>
        </w:rPr>
        <w:t>The q</w:t>
      </w:r>
      <w:r w:rsidR="00810A01" w:rsidRPr="00A344E8">
        <w:rPr>
          <w:sz w:val="22"/>
          <w:szCs w:val="20"/>
        </w:rPr>
        <w:t xml:space="preserve">uestionnaires were used </w:t>
      </w:r>
    </w:p>
    <w:p w:rsidR="00810A01" w:rsidRPr="00A344E8" w:rsidRDefault="00810A01" w:rsidP="00A344E8">
      <w:pPr>
        <w:pStyle w:val="Zkladntext"/>
        <w:widowControl w:val="0"/>
        <w:numPr>
          <w:ilvl w:val="1"/>
          <w:numId w:val="17"/>
        </w:numPr>
        <w:spacing w:after="0" w:line="240" w:lineRule="auto"/>
        <w:rPr>
          <w:sz w:val="22"/>
          <w:szCs w:val="20"/>
        </w:rPr>
      </w:pPr>
      <w:r w:rsidRPr="00A344E8">
        <w:rPr>
          <w:sz w:val="22"/>
          <w:szCs w:val="20"/>
        </w:rPr>
        <w:t xml:space="preserve">as basis for semi-structured interviews, for example in self-governing regions, and towns </w:t>
      </w:r>
    </w:p>
    <w:p w:rsidR="006975DD" w:rsidRPr="00A344E8" w:rsidRDefault="006975DD" w:rsidP="00A344E8">
      <w:pPr>
        <w:pStyle w:val="Zkladntext"/>
        <w:widowControl w:val="0"/>
        <w:numPr>
          <w:ilvl w:val="1"/>
          <w:numId w:val="17"/>
        </w:numPr>
        <w:spacing w:after="0" w:line="240" w:lineRule="auto"/>
        <w:rPr>
          <w:sz w:val="22"/>
          <w:szCs w:val="20"/>
        </w:rPr>
      </w:pPr>
      <w:r w:rsidRPr="00A344E8">
        <w:rPr>
          <w:sz w:val="22"/>
          <w:szCs w:val="20"/>
        </w:rPr>
        <w:t>as means of collecting the data in writing from various AE providers.</w:t>
      </w:r>
    </w:p>
    <w:p w:rsidR="00810A01" w:rsidRPr="00A344E8" w:rsidRDefault="00810A01" w:rsidP="00A344E8">
      <w:pPr>
        <w:pStyle w:val="Zkladntext"/>
        <w:ind w:left="1184"/>
        <w:rPr>
          <w:sz w:val="22"/>
          <w:szCs w:val="20"/>
        </w:rPr>
      </w:pPr>
    </w:p>
    <w:p w:rsidR="00810A01" w:rsidRPr="00A344E8" w:rsidRDefault="00810A01" w:rsidP="00A344E8">
      <w:pPr>
        <w:pStyle w:val="Zkladntext"/>
        <w:rPr>
          <w:sz w:val="22"/>
          <w:szCs w:val="20"/>
        </w:rPr>
      </w:pPr>
      <w:r w:rsidRPr="00A344E8">
        <w:rPr>
          <w:sz w:val="22"/>
          <w:szCs w:val="20"/>
        </w:rPr>
        <w:t>The basic structure of questionnaires:</w:t>
      </w:r>
    </w:p>
    <w:p w:rsidR="00810A01" w:rsidRPr="00A344E8" w:rsidRDefault="00810A01" w:rsidP="00F87E80">
      <w:pPr>
        <w:pStyle w:val="Zkladntext"/>
        <w:widowControl w:val="0"/>
        <w:numPr>
          <w:ilvl w:val="1"/>
          <w:numId w:val="28"/>
        </w:numPr>
        <w:spacing w:after="0" w:line="240" w:lineRule="auto"/>
        <w:ind w:left="426" w:hanging="284"/>
        <w:rPr>
          <w:sz w:val="22"/>
          <w:szCs w:val="20"/>
        </w:rPr>
      </w:pPr>
      <w:r w:rsidRPr="00A344E8">
        <w:rPr>
          <w:sz w:val="22"/>
          <w:szCs w:val="20"/>
        </w:rPr>
        <w:t>Strategies and planning of activities</w:t>
      </w:r>
    </w:p>
    <w:p w:rsidR="00810A01" w:rsidRPr="00A344E8" w:rsidRDefault="006975DD" w:rsidP="00A344E8">
      <w:pPr>
        <w:pStyle w:val="Zkladntext"/>
        <w:ind w:left="464"/>
        <w:rPr>
          <w:sz w:val="22"/>
          <w:szCs w:val="20"/>
        </w:rPr>
      </w:pPr>
      <w:r w:rsidRPr="00A344E8">
        <w:rPr>
          <w:sz w:val="22"/>
          <w:szCs w:val="20"/>
        </w:rPr>
        <w:t xml:space="preserve">Aimed at </w:t>
      </w:r>
      <w:r w:rsidR="00810A01" w:rsidRPr="00A344E8">
        <w:rPr>
          <w:sz w:val="22"/>
          <w:szCs w:val="20"/>
        </w:rPr>
        <w:t>detect</w:t>
      </w:r>
      <w:r w:rsidRPr="00A344E8">
        <w:rPr>
          <w:sz w:val="22"/>
          <w:szCs w:val="20"/>
        </w:rPr>
        <w:t>ing</w:t>
      </w:r>
      <w:r w:rsidR="00810A01" w:rsidRPr="00A344E8">
        <w:rPr>
          <w:sz w:val="22"/>
          <w:szCs w:val="20"/>
        </w:rPr>
        <w:t xml:space="preserve"> any provision of adult education – stemming from the adopted strategic documents, strategies for education, what education goals are pursued, what background documents are used, who prepares and who adopts the strategy</w:t>
      </w:r>
    </w:p>
    <w:p w:rsidR="00810A01" w:rsidRPr="00A344E8" w:rsidRDefault="00810A01" w:rsidP="00A344E8">
      <w:pPr>
        <w:pStyle w:val="Zkladntext"/>
        <w:widowControl w:val="0"/>
        <w:numPr>
          <w:ilvl w:val="0"/>
          <w:numId w:val="17"/>
        </w:numPr>
        <w:spacing w:after="0" w:line="240" w:lineRule="auto"/>
        <w:rPr>
          <w:sz w:val="22"/>
          <w:szCs w:val="20"/>
        </w:rPr>
      </w:pPr>
      <w:r w:rsidRPr="00A344E8">
        <w:rPr>
          <w:sz w:val="22"/>
          <w:szCs w:val="20"/>
        </w:rPr>
        <w:t>Cooperation and experience</w:t>
      </w:r>
    </w:p>
    <w:p w:rsidR="00810A01" w:rsidRPr="00A344E8" w:rsidRDefault="00810A01" w:rsidP="00A344E8">
      <w:pPr>
        <w:pStyle w:val="Zkladntext"/>
        <w:ind w:left="464"/>
        <w:rPr>
          <w:sz w:val="22"/>
          <w:szCs w:val="20"/>
        </w:rPr>
      </w:pPr>
      <w:r w:rsidRPr="00A344E8">
        <w:rPr>
          <w:sz w:val="22"/>
          <w:szCs w:val="20"/>
        </w:rPr>
        <w:lastRenderedPageBreak/>
        <w:t>We are interested who they cooperate with, whether they are members of some professional associations etc., participation in projects, etc.</w:t>
      </w:r>
    </w:p>
    <w:p w:rsidR="00810A01" w:rsidRPr="00A344E8" w:rsidRDefault="00810A01" w:rsidP="00A344E8">
      <w:pPr>
        <w:pStyle w:val="Zkladntext"/>
        <w:widowControl w:val="0"/>
        <w:numPr>
          <w:ilvl w:val="0"/>
          <w:numId w:val="17"/>
        </w:numPr>
        <w:spacing w:after="0" w:line="240" w:lineRule="auto"/>
        <w:rPr>
          <w:sz w:val="22"/>
          <w:szCs w:val="20"/>
        </w:rPr>
      </w:pPr>
      <w:r w:rsidRPr="00A344E8">
        <w:rPr>
          <w:sz w:val="22"/>
          <w:szCs w:val="20"/>
        </w:rPr>
        <w:t>Quality of education</w:t>
      </w:r>
    </w:p>
    <w:p w:rsidR="00810A01" w:rsidRPr="00A344E8" w:rsidRDefault="00810A01" w:rsidP="00A344E8">
      <w:pPr>
        <w:pStyle w:val="Zkladntext"/>
        <w:ind w:left="464"/>
        <w:rPr>
          <w:sz w:val="22"/>
          <w:szCs w:val="20"/>
        </w:rPr>
      </w:pPr>
      <w:r w:rsidRPr="00A344E8">
        <w:rPr>
          <w:sz w:val="22"/>
          <w:szCs w:val="20"/>
        </w:rPr>
        <w:t>Who are the education programmes for, needs analysis, certification / accreditation of courses, how the quality is measured</w:t>
      </w:r>
    </w:p>
    <w:p w:rsidR="00810A01" w:rsidRPr="00A344E8" w:rsidRDefault="00810A01" w:rsidP="00A344E8">
      <w:pPr>
        <w:pStyle w:val="Zkladntext"/>
        <w:widowControl w:val="0"/>
        <w:numPr>
          <w:ilvl w:val="0"/>
          <w:numId w:val="17"/>
        </w:numPr>
        <w:spacing w:after="0" w:line="240" w:lineRule="auto"/>
        <w:rPr>
          <w:sz w:val="22"/>
          <w:szCs w:val="20"/>
        </w:rPr>
      </w:pPr>
      <w:r w:rsidRPr="00A344E8">
        <w:rPr>
          <w:sz w:val="22"/>
          <w:szCs w:val="20"/>
        </w:rPr>
        <w:t xml:space="preserve">Impact </w:t>
      </w:r>
    </w:p>
    <w:p w:rsidR="00810A01" w:rsidRPr="00A344E8" w:rsidRDefault="00810A01" w:rsidP="00A344E8">
      <w:pPr>
        <w:pStyle w:val="Zkladntext"/>
        <w:ind w:left="464"/>
        <w:rPr>
          <w:sz w:val="22"/>
          <w:szCs w:val="20"/>
        </w:rPr>
      </w:pPr>
      <w:r w:rsidRPr="00A344E8">
        <w:rPr>
          <w:sz w:val="22"/>
          <w:szCs w:val="20"/>
        </w:rPr>
        <w:t>on the participants, town, region</w:t>
      </w:r>
    </w:p>
    <w:tbl>
      <w:tblPr>
        <w:tblStyle w:val="Mriekatabuky"/>
        <w:tblW w:w="0" w:type="auto"/>
        <w:tblLook w:val="04A0" w:firstRow="1" w:lastRow="0" w:firstColumn="1" w:lastColumn="0" w:noHBand="0" w:noVBand="1"/>
      </w:tblPr>
      <w:tblGrid>
        <w:gridCol w:w="3681"/>
        <w:gridCol w:w="1843"/>
        <w:gridCol w:w="1984"/>
      </w:tblGrid>
      <w:tr w:rsidR="00554053" w:rsidRPr="00670A0E" w:rsidTr="005930B6">
        <w:tc>
          <w:tcPr>
            <w:tcW w:w="3681" w:type="dxa"/>
            <w:shd w:val="clear" w:color="auto" w:fill="DEEAF6" w:themeFill="accent1" w:themeFillTint="33"/>
          </w:tcPr>
          <w:p w:rsidR="00554053" w:rsidRPr="005930B6" w:rsidRDefault="00554053" w:rsidP="00A344E8">
            <w:pPr>
              <w:rPr>
                <w:rFonts w:cstheme="minorHAnsi"/>
              </w:rPr>
            </w:pPr>
            <w:r w:rsidRPr="005930B6">
              <w:rPr>
                <w:rFonts w:cstheme="minorHAnsi"/>
              </w:rPr>
              <w:t>In</w:t>
            </w:r>
            <w:r w:rsidR="00A344E8" w:rsidRPr="005930B6">
              <w:rPr>
                <w:rFonts w:cstheme="minorHAnsi"/>
              </w:rPr>
              <w:t xml:space="preserve">stitution </w:t>
            </w:r>
          </w:p>
        </w:tc>
        <w:tc>
          <w:tcPr>
            <w:tcW w:w="1843" w:type="dxa"/>
            <w:shd w:val="clear" w:color="auto" w:fill="DEEAF6" w:themeFill="accent1" w:themeFillTint="33"/>
          </w:tcPr>
          <w:p w:rsidR="00554053" w:rsidRPr="005930B6" w:rsidRDefault="005930B6" w:rsidP="005930B6">
            <w:pPr>
              <w:rPr>
                <w:rFonts w:cstheme="minorHAnsi"/>
              </w:rPr>
            </w:pPr>
            <w:r w:rsidRPr="005930B6">
              <w:rPr>
                <w:rFonts w:cstheme="minorHAnsi"/>
              </w:rPr>
              <w:t xml:space="preserve">Number of questionnaires sent </w:t>
            </w:r>
          </w:p>
        </w:tc>
        <w:tc>
          <w:tcPr>
            <w:tcW w:w="1984" w:type="dxa"/>
            <w:shd w:val="clear" w:color="auto" w:fill="DEEAF6" w:themeFill="accent1" w:themeFillTint="33"/>
          </w:tcPr>
          <w:p w:rsidR="00554053" w:rsidRPr="005930B6" w:rsidRDefault="005930B6" w:rsidP="00E130E2">
            <w:pPr>
              <w:rPr>
                <w:rFonts w:cstheme="minorHAnsi"/>
              </w:rPr>
            </w:pPr>
            <w:r w:rsidRPr="005930B6">
              <w:rPr>
                <w:rFonts w:cstheme="minorHAnsi"/>
              </w:rPr>
              <w:t>Number of questionnaires received</w:t>
            </w:r>
          </w:p>
        </w:tc>
      </w:tr>
      <w:tr w:rsidR="00554053" w:rsidRPr="00670A0E" w:rsidTr="005930B6">
        <w:tc>
          <w:tcPr>
            <w:tcW w:w="3681" w:type="dxa"/>
          </w:tcPr>
          <w:p w:rsidR="00554053" w:rsidRPr="005930B6" w:rsidRDefault="00A344E8" w:rsidP="00E130E2">
            <w:pPr>
              <w:rPr>
                <w:rFonts w:cstheme="minorHAnsi"/>
              </w:rPr>
            </w:pPr>
            <w:r w:rsidRPr="005930B6">
              <w:rPr>
                <w:rFonts w:cstheme="minorHAnsi"/>
              </w:rPr>
              <w:t>Region</w:t>
            </w:r>
            <w:r w:rsidR="005930B6" w:rsidRPr="005930B6">
              <w:rPr>
                <w:rFonts w:cstheme="minorHAnsi"/>
              </w:rPr>
              <w:t>s</w:t>
            </w:r>
          </w:p>
        </w:tc>
        <w:tc>
          <w:tcPr>
            <w:tcW w:w="1843" w:type="dxa"/>
          </w:tcPr>
          <w:p w:rsidR="00554053" w:rsidRPr="005930B6" w:rsidRDefault="00554053" w:rsidP="00E130E2">
            <w:pPr>
              <w:rPr>
                <w:rFonts w:cstheme="minorHAnsi"/>
              </w:rPr>
            </w:pPr>
            <w:r w:rsidRPr="005930B6">
              <w:rPr>
                <w:rFonts w:cstheme="minorHAnsi"/>
              </w:rPr>
              <w:t>8</w:t>
            </w:r>
          </w:p>
        </w:tc>
        <w:tc>
          <w:tcPr>
            <w:tcW w:w="1984" w:type="dxa"/>
          </w:tcPr>
          <w:p w:rsidR="00554053" w:rsidRPr="005930B6" w:rsidRDefault="00554053" w:rsidP="00E130E2">
            <w:pPr>
              <w:rPr>
                <w:rFonts w:cstheme="minorHAnsi"/>
              </w:rPr>
            </w:pPr>
            <w:r w:rsidRPr="005930B6">
              <w:rPr>
                <w:rFonts w:cstheme="minorHAnsi"/>
              </w:rPr>
              <w:t>8</w:t>
            </w:r>
          </w:p>
        </w:tc>
      </w:tr>
      <w:tr w:rsidR="00554053" w:rsidRPr="00670A0E" w:rsidTr="005930B6">
        <w:tc>
          <w:tcPr>
            <w:tcW w:w="3681" w:type="dxa"/>
          </w:tcPr>
          <w:p w:rsidR="00554053" w:rsidRPr="005930B6" w:rsidRDefault="00A344E8" w:rsidP="00E130E2">
            <w:pPr>
              <w:rPr>
                <w:rFonts w:cstheme="minorHAnsi"/>
              </w:rPr>
            </w:pPr>
            <w:r w:rsidRPr="005930B6">
              <w:rPr>
                <w:rFonts w:cstheme="minorHAnsi"/>
              </w:rPr>
              <w:t>Town</w:t>
            </w:r>
            <w:r w:rsidR="005930B6" w:rsidRPr="005930B6">
              <w:rPr>
                <w:rFonts w:cstheme="minorHAnsi"/>
              </w:rPr>
              <w:t>s</w:t>
            </w:r>
          </w:p>
        </w:tc>
        <w:tc>
          <w:tcPr>
            <w:tcW w:w="1843" w:type="dxa"/>
          </w:tcPr>
          <w:p w:rsidR="00554053" w:rsidRPr="005930B6" w:rsidRDefault="00554053" w:rsidP="00E130E2">
            <w:pPr>
              <w:rPr>
                <w:rFonts w:cstheme="minorHAnsi"/>
              </w:rPr>
            </w:pPr>
            <w:r w:rsidRPr="005930B6">
              <w:rPr>
                <w:rFonts w:cstheme="minorHAnsi"/>
              </w:rPr>
              <w:t>6</w:t>
            </w:r>
          </w:p>
        </w:tc>
        <w:tc>
          <w:tcPr>
            <w:tcW w:w="1984" w:type="dxa"/>
          </w:tcPr>
          <w:p w:rsidR="00554053" w:rsidRPr="005930B6" w:rsidRDefault="00554053" w:rsidP="00E130E2">
            <w:pPr>
              <w:rPr>
                <w:rFonts w:cstheme="minorHAnsi"/>
              </w:rPr>
            </w:pPr>
            <w:r w:rsidRPr="005930B6">
              <w:rPr>
                <w:rFonts w:cstheme="minorHAnsi"/>
              </w:rPr>
              <w:t>5</w:t>
            </w:r>
          </w:p>
        </w:tc>
      </w:tr>
      <w:tr w:rsidR="00554053" w:rsidRPr="00670A0E" w:rsidTr="005930B6">
        <w:tc>
          <w:tcPr>
            <w:tcW w:w="3681" w:type="dxa"/>
          </w:tcPr>
          <w:p w:rsidR="00554053" w:rsidRPr="005930B6" w:rsidRDefault="00554053" w:rsidP="00A344E8">
            <w:pPr>
              <w:rPr>
                <w:rFonts w:cstheme="minorHAnsi"/>
              </w:rPr>
            </w:pPr>
            <w:r w:rsidRPr="005930B6">
              <w:rPr>
                <w:rFonts w:cstheme="minorHAnsi"/>
              </w:rPr>
              <w:t>C</w:t>
            </w:r>
            <w:r w:rsidR="00A344E8" w:rsidRPr="005930B6">
              <w:rPr>
                <w:rFonts w:cstheme="minorHAnsi"/>
              </w:rPr>
              <w:t>entre</w:t>
            </w:r>
            <w:r w:rsidR="005930B6" w:rsidRPr="005930B6">
              <w:rPr>
                <w:rFonts w:cstheme="minorHAnsi"/>
              </w:rPr>
              <w:t>s</w:t>
            </w:r>
            <w:r w:rsidR="00A344E8" w:rsidRPr="005930B6">
              <w:rPr>
                <w:rFonts w:cstheme="minorHAnsi"/>
              </w:rPr>
              <w:t xml:space="preserve"> of Further Education at university</w:t>
            </w:r>
          </w:p>
        </w:tc>
        <w:tc>
          <w:tcPr>
            <w:tcW w:w="1843" w:type="dxa"/>
          </w:tcPr>
          <w:p w:rsidR="00554053" w:rsidRPr="005930B6" w:rsidRDefault="00554053" w:rsidP="00E130E2">
            <w:pPr>
              <w:rPr>
                <w:rFonts w:cstheme="minorHAnsi"/>
              </w:rPr>
            </w:pPr>
            <w:r w:rsidRPr="005930B6">
              <w:rPr>
                <w:rFonts w:cstheme="minorHAnsi"/>
              </w:rPr>
              <w:t>33</w:t>
            </w:r>
          </w:p>
        </w:tc>
        <w:tc>
          <w:tcPr>
            <w:tcW w:w="1984" w:type="dxa"/>
          </w:tcPr>
          <w:p w:rsidR="00554053" w:rsidRPr="005930B6" w:rsidRDefault="00554053" w:rsidP="00E130E2">
            <w:pPr>
              <w:rPr>
                <w:rFonts w:cstheme="minorHAnsi"/>
              </w:rPr>
            </w:pPr>
            <w:r w:rsidRPr="005930B6">
              <w:rPr>
                <w:rFonts w:cstheme="minorHAnsi"/>
              </w:rPr>
              <w:t>6</w:t>
            </w:r>
          </w:p>
        </w:tc>
      </w:tr>
      <w:tr w:rsidR="00554053" w:rsidRPr="00670A0E" w:rsidTr="005930B6">
        <w:tc>
          <w:tcPr>
            <w:tcW w:w="3681" w:type="dxa"/>
          </w:tcPr>
          <w:p w:rsidR="00554053" w:rsidRPr="005930B6" w:rsidRDefault="00A344E8" w:rsidP="005930B6">
            <w:pPr>
              <w:rPr>
                <w:rFonts w:cstheme="minorHAnsi"/>
              </w:rPr>
            </w:pPr>
            <w:r w:rsidRPr="005930B6">
              <w:rPr>
                <w:rFonts w:cstheme="minorHAnsi"/>
              </w:rPr>
              <w:t>Un</w:t>
            </w:r>
            <w:r w:rsidR="005930B6" w:rsidRPr="005930B6">
              <w:rPr>
                <w:rFonts w:cstheme="minorHAnsi"/>
              </w:rPr>
              <w:t>i</w:t>
            </w:r>
            <w:r w:rsidRPr="005930B6">
              <w:rPr>
                <w:rFonts w:cstheme="minorHAnsi"/>
              </w:rPr>
              <w:t>versit</w:t>
            </w:r>
            <w:r w:rsidR="005930B6" w:rsidRPr="005930B6">
              <w:rPr>
                <w:rFonts w:cstheme="minorHAnsi"/>
              </w:rPr>
              <w:t>ies</w:t>
            </w:r>
            <w:r w:rsidRPr="005930B6">
              <w:rPr>
                <w:rFonts w:cstheme="minorHAnsi"/>
              </w:rPr>
              <w:t xml:space="preserve"> of Third Age</w:t>
            </w:r>
          </w:p>
        </w:tc>
        <w:tc>
          <w:tcPr>
            <w:tcW w:w="1843" w:type="dxa"/>
          </w:tcPr>
          <w:p w:rsidR="00554053" w:rsidRPr="005930B6" w:rsidRDefault="00554053" w:rsidP="00E130E2">
            <w:pPr>
              <w:rPr>
                <w:rFonts w:cstheme="minorHAnsi"/>
              </w:rPr>
            </w:pPr>
            <w:r w:rsidRPr="005930B6">
              <w:rPr>
                <w:rFonts w:cstheme="minorHAnsi"/>
              </w:rPr>
              <w:t>50</w:t>
            </w:r>
          </w:p>
        </w:tc>
        <w:tc>
          <w:tcPr>
            <w:tcW w:w="1984" w:type="dxa"/>
          </w:tcPr>
          <w:p w:rsidR="00554053" w:rsidRPr="005930B6" w:rsidRDefault="00554053" w:rsidP="00E130E2">
            <w:pPr>
              <w:rPr>
                <w:rFonts w:cstheme="minorHAnsi"/>
              </w:rPr>
            </w:pPr>
            <w:r w:rsidRPr="005930B6">
              <w:rPr>
                <w:rFonts w:cstheme="minorHAnsi"/>
              </w:rPr>
              <w:t>17</w:t>
            </w:r>
          </w:p>
        </w:tc>
      </w:tr>
      <w:tr w:rsidR="00554053" w:rsidRPr="00670A0E" w:rsidTr="005930B6">
        <w:tc>
          <w:tcPr>
            <w:tcW w:w="3681" w:type="dxa"/>
          </w:tcPr>
          <w:p w:rsidR="00554053" w:rsidRPr="005930B6" w:rsidRDefault="00A344E8" w:rsidP="00E130E2">
            <w:pPr>
              <w:rPr>
                <w:rFonts w:cstheme="minorHAnsi"/>
              </w:rPr>
            </w:pPr>
            <w:r w:rsidRPr="005930B6">
              <w:rPr>
                <w:rFonts w:cstheme="minorHAnsi"/>
              </w:rPr>
              <w:t>Secondary Schools</w:t>
            </w:r>
          </w:p>
        </w:tc>
        <w:tc>
          <w:tcPr>
            <w:tcW w:w="1843" w:type="dxa"/>
          </w:tcPr>
          <w:p w:rsidR="00554053" w:rsidRPr="005930B6" w:rsidRDefault="00554053" w:rsidP="00E130E2">
            <w:pPr>
              <w:rPr>
                <w:rFonts w:cstheme="minorHAnsi"/>
              </w:rPr>
            </w:pPr>
            <w:r w:rsidRPr="005930B6">
              <w:rPr>
                <w:rFonts w:cstheme="minorHAnsi"/>
              </w:rPr>
              <w:t>96</w:t>
            </w:r>
          </w:p>
        </w:tc>
        <w:tc>
          <w:tcPr>
            <w:tcW w:w="1984" w:type="dxa"/>
          </w:tcPr>
          <w:p w:rsidR="00554053" w:rsidRPr="005930B6" w:rsidRDefault="00554053" w:rsidP="00E130E2">
            <w:pPr>
              <w:rPr>
                <w:rFonts w:cstheme="minorHAnsi"/>
              </w:rPr>
            </w:pPr>
            <w:r w:rsidRPr="005930B6">
              <w:rPr>
                <w:rFonts w:cstheme="minorHAnsi"/>
              </w:rPr>
              <w:t>14</w:t>
            </w:r>
          </w:p>
        </w:tc>
      </w:tr>
      <w:tr w:rsidR="00554053" w:rsidRPr="00670A0E" w:rsidTr="005930B6">
        <w:tc>
          <w:tcPr>
            <w:tcW w:w="3681" w:type="dxa"/>
          </w:tcPr>
          <w:p w:rsidR="00554053" w:rsidRPr="005930B6" w:rsidRDefault="00A344E8" w:rsidP="005930B6">
            <w:pPr>
              <w:rPr>
                <w:rFonts w:cstheme="minorHAnsi"/>
              </w:rPr>
            </w:pPr>
            <w:r w:rsidRPr="005930B6">
              <w:rPr>
                <w:rFonts w:cstheme="minorHAnsi"/>
              </w:rPr>
              <w:t xml:space="preserve">Least </w:t>
            </w:r>
            <w:r w:rsidR="005930B6" w:rsidRPr="005930B6">
              <w:rPr>
                <w:rFonts w:cstheme="minorHAnsi"/>
              </w:rPr>
              <w:t>Developed D</w:t>
            </w:r>
            <w:r w:rsidRPr="005930B6">
              <w:rPr>
                <w:rFonts w:cstheme="minorHAnsi"/>
              </w:rPr>
              <w:t>istricts</w:t>
            </w:r>
          </w:p>
        </w:tc>
        <w:tc>
          <w:tcPr>
            <w:tcW w:w="1843" w:type="dxa"/>
          </w:tcPr>
          <w:p w:rsidR="00554053" w:rsidRPr="005930B6" w:rsidRDefault="00554053" w:rsidP="00E130E2">
            <w:pPr>
              <w:rPr>
                <w:rFonts w:cstheme="minorHAnsi"/>
              </w:rPr>
            </w:pPr>
            <w:r w:rsidRPr="005930B6">
              <w:rPr>
                <w:rFonts w:cstheme="minorHAnsi"/>
              </w:rPr>
              <w:t>3</w:t>
            </w:r>
          </w:p>
        </w:tc>
        <w:tc>
          <w:tcPr>
            <w:tcW w:w="1984" w:type="dxa"/>
          </w:tcPr>
          <w:p w:rsidR="00554053" w:rsidRPr="005930B6" w:rsidRDefault="00554053" w:rsidP="00E130E2">
            <w:pPr>
              <w:rPr>
                <w:rFonts w:cstheme="minorHAnsi"/>
              </w:rPr>
            </w:pPr>
            <w:r w:rsidRPr="005930B6">
              <w:rPr>
                <w:rFonts w:cstheme="minorHAnsi"/>
              </w:rPr>
              <w:t>3</w:t>
            </w:r>
          </w:p>
        </w:tc>
      </w:tr>
      <w:tr w:rsidR="00554053" w:rsidRPr="00670A0E" w:rsidTr="005930B6">
        <w:tc>
          <w:tcPr>
            <w:tcW w:w="3681" w:type="dxa"/>
          </w:tcPr>
          <w:p w:rsidR="00554053" w:rsidRPr="00DA5BF0" w:rsidRDefault="00A344E8" w:rsidP="00E130E2">
            <w:pPr>
              <w:rPr>
                <w:rFonts w:cstheme="minorHAnsi"/>
              </w:rPr>
            </w:pPr>
            <w:r w:rsidRPr="00DA5BF0">
              <w:rPr>
                <w:rFonts w:cstheme="minorHAnsi"/>
              </w:rPr>
              <w:t>Regional Development Agencies</w:t>
            </w:r>
          </w:p>
        </w:tc>
        <w:tc>
          <w:tcPr>
            <w:tcW w:w="1843" w:type="dxa"/>
          </w:tcPr>
          <w:p w:rsidR="00554053" w:rsidRPr="00DA5BF0" w:rsidRDefault="005930B6" w:rsidP="00E130E2">
            <w:pPr>
              <w:rPr>
                <w:rFonts w:cstheme="minorHAnsi"/>
              </w:rPr>
            </w:pPr>
            <w:r w:rsidRPr="00DA5BF0">
              <w:rPr>
                <w:rFonts w:cstheme="minorHAnsi"/>
              </w:rPr>
              <w:t>(41)</w:t>
            </w:r>
          </w:p>
        </w:tc>
        <w:tc>
          <w:tcPr>
            <w:tcW w:w="1984" w:type="dxa"/>
          </w:tcPr>
          <w:p w:rsidR="00554053" w:rsidRPr="005930B6" w:rsidRDefault="005930B6" w:rsidP="00E130E2">
            <w:pPr>
              <w:rPr>
                <w:rFonts w:cstheme="minorHAnsi"/>
              </w:rPr>
            </w:pPr>
            <w:r w:rsidRPr="005930B6">
              <w:rPr>
                <w:rFonts w:cstheme="minorHAnsi"/>
              </w:rPr>
              <w:t>5</w:t>
            </w:r>
          </w:p>
        </w:tc>
      </w:tr>
      <w:tr w:rsidR="005930B6" w:rsidRPr="00670A0E" w:rsidTr="005930B6">
        <w:tc>
          <w:tcPr>
            <w:tcW w:w="3681" w:type="dxa"/>
          </w:tcPr>
          <w:p w:rsidR="005930B6" w:rsidRPr="005930B6" w:rsidRDefault="005930B6" w:rsidP="005930B6">
            <w:pPr>
              <w:rPr>
                <w:rFonts w:cstheme="minorHAnsi"/>
              </w:rPr>
            </w:pPr>
            <w:r w:rsidRPr="005930B6">
              <w:rPr>
                <w:rFonts w:cstheme="minorHAnsi"/>
              </w:rPr>
              <w:t>AE providers</w:t>
            </w:r>
          </w:p>
        </w:tc>
        <w:tc>
          <w:tcPr>
            <w:tcW w:w="1843" w:type="dxa"/>
          </w:tcPr>
          <w:p w:rsidR="005930B6" w:rsidRPr="005930B6" w:rsidRDefault="005930B6" w:rsidP="005930B6">
            <w:pPr>
              <w:rPr>
                <w:rFonts w:cstheme="minorHAnsi"/>
              </w:rPr>
            </w:pPr>
            <w:r w:rsidRPr="005930B6">
              <w:rPr>
                <w:rFonts w:cstheme="minorHAnsi"/>
              </w:rPr>
              <w:t>127</w:t>
            </w:r>
          </w:p>
        </w:tc>
        <w:tc>
          <w:tcPr>
            <w:tcW w:w="1984" w:type="dxa"/>
          </w:tcPr>
          <w:p w:rsidR="005930B6" w:rsidRPr="005930B6" w:rsidRDefault="005930B6" w:rsidP="005930B6">
            <w:pPr>
              <w:rPr>
                <w:rFonts w:cstheme="minorHAnsi"/>
              </w:rPr>
            </w:pPr>
            <w:r w:rsidRPr="005930B6">
              <w:rPr>
                <w:rFonts w:cstheme="minorHAnsi"/>
              </w:rPr>
              <w:t>24</w:t>
            </w:r>
          </w:p>
        </w:tc>
      </w:tr>
      <w:tr w:rsidR="005930B6" w:rsidRPr="00670A0E" w:rsidTr="005930B6">
        <w:tc>
          <w:tcPr>
            <w:tcW w:w="3681" w:type="dxa"/>
          </w:tcPr>
          <w:p w:rsidR="005930B6" w:rsidRPr="005930B6" w:rsidRDefault="005930B6" w:rsidP="005930B6">
            <w:pPr>
              <w:rPr>
                <w:rFonts w:cstheme="minorHAnsi"/>
              </w:rPr>
            </w:pPr>
            <w:r w:rsidRPr="005930B6">
              <w:rPr>
                <w:rFonts w:cstheme="minorHAnsi"/>
              </w:rPr>
              <w:t>Museums</w:t>
            </w:r>
          </w:p>
        </w:tc>
        <w:tc>
          <w:tcPr>
            <w:tcW w:w="1843" w:type="dxa"/>
          </w:tcPr>
          <w:p w:rsidR="005930B6" w:rsidRPr="005930B6" w:rsidRDefault="005930B6" w:rsidP="005930B6">
            <w:pPr>
              <w:rPr>
                <w:rFonts w:cstheme="minorHAnsi"/>
              </w:rPr>
            </w:pPr>
            <w:r w:rsidRPr="005930B6">
              <w:rPr>
                <w:rFonts w:cstheme="minorHAnsi"/>
              </w:rPr>
              <w:t>?</w:t>
            </w:r>
          </w:p>
        </w:tc>
        <w:tc>
          <w:tcPr>
            <w:tcW w:w="1984" w:type="dxa"/>
          </w:tcPr>
          <w:p w:rsidR="005930B6" w:rsidRPr="005930B6" w:rsidRDefault="005930B6" w:rsidP="005930B6">
            <w:pPr>
              <w:rPr>
                <w:rFonts w:cstheme="minorHAnsi"/>
              </w:rPr>
            </w:pPr>
            <w:r w:rsidRPr="005930B6">
              <w:rPr>
                <w:rFonts w:cstheme="minorHAnsi"/>
              </w:rPr>
              <w:t>21</w:t>
            </w:r>
          </w:p>
        </w:tc>
      </w:tr>
    </w:tbl>
    <w:p w:rsidR="00810A01" w:rsidRPr="00A8589E" w:rsidRDefault="00810A01" w:rsidP="00554053">
      <w:pPr>
        <w:pStyle w:val="Zkladntext"/>
        <w:ind w:right="551"/>
        <w:rPr>
          <w:rFonts w:cs="Arial"/>
          <w:spacing w:val="12"/>
          <w:sz w:val="22"/>
          <w:szCs w:val="22"/>
        </w:rPr>
      </w:pPr>
    </w:p>
    <w:p w:rsidR="00810A01" w:rsidRPr="00A8589E" w:rsidRDefault="006975DD" w:rsidP="00554053">
      <w:pPr>
        <w:pStyle w:val="Nadpis3"/>
      </w:pPr>
      <w:bookmarkStart w:id="15" w:name="_Toc9940769"/>
      <w:r>
        <w:t>F</w:t>
      </w:r>
      <w:r w:rsidR="00810A01" w:rsidRPr="00A8589E">
        <w:t>indings from the regions</w:t>
      </w:r>
      <w:r w:rsidR="00267998">
        <w:t xml:space="preserve"> and towns</w:t>
      </w:r>
      <w:bookmarkEnd w:id="15"/>
    </w:p>
    <w:p w:rsidR="006975DD" w:rsidRPr="005930B6" w:rsidRDefault="006975DD" w:rsidP="005930B6">
      <w:pPr>
        <w:pStyle w:val="Zkladntext"/>
        <w:rPr>
          <w:sz w:val="22"/>
          <w:szCs w:val="20"/>
        </w:rPr>
      </w:pPr>
      <w:r w:rsidRPr="005930B6">
        <w:rPr>
          <w:sz w:val="22"/>
          <w:szCs w:val="20"/>
        </w:rPr>
        <w:t xml:space="preserve">The questionnaires were used as basis for semi-structured interviews in all self-governing regions, ideally one interview with a person responsible for education and training and one with </w:t>
      </w:r>
      <w:r w:rsidR="00267998" w:rsidRPr="005930B6">
        <w:rPr>
          <w:sz w:val="22"/>
          <w:szCs w:val="20"/>
        </w:rPr>
        <w:t xml:space="preserve">representative of </w:t>
      </w:r>
      <w:r w:rsidRPr="005930B6">
        <w:rPr>
          <w:sz w:val="22"/>
          <w:szCs w:val="20"/>
        </w:rPr>
        <w:t xml:space="preserve">the strategic planning unit, and also in selected towns (Hlohovec, Trnava, Liptovský Mikuláš) including the least developed </w:t>
      </w:r>
      <w:r w:rsidR="002E612A" w:rsidRPr="005930B6">
        <w:rPr>
          <w:sz w:val="22"/>
          <w:szCs w:val="20"/>
        </w:rPr>
        <w:t xml:space="preserve">district towns </w:t>
      </w:r>
      <w:r w:rsidRPr="005930B6">
        <w:rPr>
          <w:sz w:val="22"/>
          <w:szCs w:val="20"/>
        </w:rPr>
        <w:t>(Trebišov).</w:t>
      </w:r>
    </w:p>
    <w:p w:rsidR="00810A01" w:rsidRDefault="00267998" w:rsidP="00267998">
      <w:pPr>
        <w:pStyle w:val="Nadpis4"/>
      </w:pPr>
      <w:r>
        <w:t>F</w:t>
      </w:r>
      <w:r w:rsidR="00810A01" w:rsidRPr="00A8589E">
        <w:t>indings</w:t>
      </w:r>
      <w:r w:rsidR="006975DD">
        <w:t xml:space="preserve"> </w:t>
      </w:r>
      <w:r>
        <w:t>from the region</w:t>
      </w:r>
      <w:r w:rsidR="005930B6">
        <w:t>al administrations</w:t>
      </w:r>
    </w:p>
    <w:p w:rsidR="002E612A" w:rsidRDefault="002E612A" w:rsidP="002E612A">
      <w:pPr>
        <w:pStyle w:val="Zkladntext"/>
        <w:widowControl w:val="0"/>
        <w:spacing w:after="0" w:line="276" w:lineRule="auto"/>
        <w:rPr>
          <w:sz w:val="22"/>
        </w:rPr>
      </w:pPr>
    </w:p>
    <w:p w:rsidR="00810A01" w:rsidRPr="00920AA1" w:rsidRDefault="00810A01" w:rsidP="002E612A">
      <w:pPr>
        <w:pStyle w:val="Zkladntext"/>
        <w:widowControl w:val="0"/>
        <w:spacing w:after="0" w:line="276" w:lineRule="auto"/>
        <w:rPr>
          <w:sz w:val="22"/>
        </w:rPr>
      </w:pPr>
      <w:r w:rsidRPr="00920AA1">
        <w:rPr>
          <w:sz w:val="22"/>
        </w:rPr>
        <w:t>The law on regional self-governments says that these shall „create conditions for development of education and training especially in secondary schools and for further education“. A provision „To create conditions“ leaves a lot of space for interpretation...</w:t>
      </w:r>
    </w:p>
    <w:p w:rsidR="00810A01" w:rsidRPr="00920AA1" w:rsidRDefault="00810A01" w:rsidP="00920AA1">
      <w:pPr>
        <w:pStyle w:val="Zkladntext"/>
        <w:widowControl w:val="0"/>
        <w:numPr>
          <w:ilvl w:val="0"/>
          <w:numId w:val="19"/>
        </w:numPr>
        <w:spacing w:after="0" w:line="276" w:lineRule="auto"/>
        <w:rPr>
          <w:sz w:val="22"/>
        </w:rPr>
      </w:pPr>
      <w:r w:rsidRPr="00920AA1">
        <w:rPr>
          <w:sz w:val="22"/>
        </w:rPr>
        <w:t>The implementation of the National Strategy on Regional Development is done through regional development plans and local development plans</w:t>
      </w:r>
    </w:p>
    <w:p w:rsidR="00810A01" w:rsidRPr="00920AA1" w:rsidRDefault="00810A01" w:rsidP="00920AA1">
      <w:pPr>
        <w:pStyle w:val="Zkladntext"/>
        <w:widowControl w:val="0"/>
        <w:numPr>
          <w:ilvl w:val="0"/>
          <w:numId w:val="19"/>
        </w:numPr>
        <w:spacing w:after="0" w:line="276" w:lineRule="auto"/>
        <w:rPr>
          <w:sz w:val="22"/>
        </w:rPr>
      </w:pPr>
      <w:r w:rsidRPr="00920AA1">
        <w:rPr>
          <w:sz w:val="22"/>
        </w:rPr>
        <w:t>Each region (and each municipality) has a Plan of Economic and Social Development which incorporate goals like:</w:t>
      </w:r>
    </w:p>
    <w:p w:rsidR="00810A01" w:rsidRPr="00920AA1" w:rsidRDefault="00810A01" w:rsidP="00920AA1">
      <w:pPr>
        <w:pStyle w:val="Zkladntext"/>
        <w:widowControl w:val="0"/>
        <w:numPr>
          <w:ilvl w:val="1"/>
          <w:numId w:val="19"/>
        </w:numPr>
        <w:spacing w:after="0" w:line="276" w:lineRule="auto"/>
        <w:rPr>
          <w:sz w:val="22"/>
        </w:rPr>
      </w:pPr>
      <w:r w:rsidRPr="00920AA1">
        <w:rPr>
          <w:sz w:val="22"/>
        </w:rPr>
        <w:t> to build a working system of lifelong learning and lifelong guidance system</w:t>
      </w:r>
    </w:p>
    <w:p w:rsidR="00810A01" w:rsidRPr="00920AA1" w:rsidRDefault="00810A01" w:rsidP="00920AA1">
      <w:pPr>
        <w:pStyle w:val="Zkladntext"/>
        <w:widowControl w:val="0"/>
        <w:numPr>
          <w:ilvl w:val="1"/>
          <w:numId w:val="19"/>
        </w:numPr>
        <w:spacing w:after="0" w:line="276" w:lineRule="auto"/>
        <w:rPr>
          <w:sz w:val="22"/>
        </w:rPr>
      </w:pPr>
      <w:r w:rsidRPr="00920AA1">
        <w:rPr>
          <w:sz w:val="22"/>
        </w:rPr>
        <w:t> to increase the participation of adults in LLL</w:t>
      </w:r>
    </w:p>
    <w:p w:rsidR="00810A01" w:rsidRPr="00920AA1" w:rsidRDefault="00810A01" w:rsidP="00920AA1">
      <w:pPr>
        <w:pStyle w:val="Zkladntext"/>
        <w:widowControl w:val="0"/>
        <w:numPr>
          <w:ilvl w:val="1"/>
          <w:numId w:val="19"/>
        </w:numPr>
        <w:spacing w:after="0" w:line="276" w:lineRule="auto"/>
        <w:rPr>
          <w:sz w:val="22"/>
        </w:rPr>
      </w:pPr>
      <w:r w:rsidRPr="00920AA1">
        <w:rPr>
          <w:sz w:val="22"/>
        </w:rPr>
        <w:t> to ensure quality lifelong learning and entrepreneurial learning for all citizens</w:t>
      </w:r>
    </w:p>
    <w:p w:rsidR="00810A01" w:rsidRPr="00920AA1" w:rsidRDefault="00810A01" w:rsidP="00920AA1">
      <w:pPr>
        <w:pStyle w:val="Zkladntext"/>
        <w:widowControl w:val="0"/>
        <w:numPr>
          <w:ilvl w:val="1"/>
          <w:numId w:val="19"/>
        </w:numPr>
        <w:spacing w:after="0" w:line="276" w:lineRule="auto"/>
        <w:rPr>
          <w:sz w:val="22"/>
        </w:rPr>
      </w:pPr>
      <w:r w:rsidRPr="00920AA1">
        <w:rPr>
          <w:sz w:val="22"/>
        </w:rPr>
        <w:t> to invest in education, training, skills building and lifelong learning</w:t>
      </w:r>
    </w:p>
    <w:p w:rsidR="00810A01" w:rsidRPr="00920AA1" w:rsidRDefault="00810A01" w:rsidP="00920AA1">
      <w:pPr>
        <w:pStyle w:val="Zkladntext"/>
        <w:widowControl w:val="0"/>
        <w:numPr>
          <w:ilvl w:val="0"/>
          <w:numId w:val="19"/>
        </w:numPr>
        <w:spacing w:after="0" w:line="276" w:lineRule="auto"/>
        <w:rPr>
          <w:sz w:val="22"/>
        </w:rPr>
      </w:pPr>
      <w:r w:rsidRPr="00920AA1">
        <w:rPr>
          <w:sz w:val="22"/>
        </w:rPr>
        <w:t>However there are rarely concrete measures related to these plans, or indicators or funds allocated</w:t>
      </w:r>
    </w:p>
    <w:p w:rsidR="00810A01" w:rsidRPr="00920AA1" w:rsidRDefault="00810A01" w:rsidP="00920AA1">
      <w:pPr>
        <w:pStyle w:val="Zkladntext"/>
        <w:widowControl w:val="0"/>
        <w:numPr>
          <w:ilvl w:val="0"/>
          <w:numId w:val="19"/>
        </w:numPr>
        <w:spacing w:after="0" w:line="276" w:lineRule="auto"/>
        <w:rPr>
          <w:sz w:val="22"/>
        </w:rPr>
      </w:pPr>
      <w:r w:rsidRPr="00920AA1">
        <w:rPr>
          <w:sz w:val="22"/>
        </w:rPr>
        <w:t xml:space="preserve">Each region (and municipality) has a number of sectoral strategic documents </w:t>
      </w:r>
      <w:r w:rsidRPr="00920AA1">
        <w:rPr>
          <w:sz w:val="22"/>
        </w:rPr>
        <w:lastRenderedPageBreak/>
        <w:t>(Development of Vocational Education, Strategy for Youth, Community Plan of Social Development, Strategy for Active Aging...) that deal also with (adult) education</w:t>
      </w:r>
    </w:p>
    <w:p w:rsidR="00810A01" w:rsidRPr="00920AA1" w:rsidRDefault="00810A01" w:rsidP="00920AA1">
      <w:pPr>
        <w:pStyle w:val="Zkladntext"/>
        <w:widowControl w:val="0"/>
        <w:numPr>
          <w:ilvl w:val="0"/>
          <w:numId w:val="19"/>
        </w:numPr>
        <w:spacing w:after="0" w:line="276" w:lineRule="auto"/>
        <w:rPr>
          <w:sz w:val="22"/>
        </w:rPr>
      </w:pPr>
      <w:r w:rsidRPr="00920AA1">
        <w:rPr>
          <w:sz w:val="22"/>
        </w:rPr>
        <w:t>When asked about AE, the staff would mention continued professional training within the office, training of adults by secondary schools or community activities</w:t>
      </w:r>
    </w:p>
    <w:p w:rsidR="00810A01" w:rsidRPr="00920AA1" w:rsidRDefault="00810A01" w:rsidP="00920AA1">
      <w:pPr>
        <w:pStyle w:val="Zkladntext"/>
        <w:widowControl w:val="0"/>
        <w:numPr>
          <w:ilvl w:val="0"/>
          <w:numId w:val="19"/>
        </w:numPr>
        <w:spacing w:after="0" w:line="276" w:lineRule="auto"/>
        <w:rPr>
          <w:sz w:val="22"/>
        </w:rPr>
      </w:pPr>
      <w:r w:rsidRPr="00920AA1">
        <w:rPr>
          <w:sz w:val="22"/>
        </w:rPr>
        <w:t>Adult education is not mentioned in the organisation structures, there is nobody tasked with adult education</w:t>
      </w:r>
    </w:p>
    <w:p w:rsidR="00810A01" w:rsidRPr="00920AA1" w:rsidRDefault="00810A01" w:rsidP="00920AA1">
      <w:pPr>
        <w:pStyle w:val="Zkladntext"/>
        <w:widowControl w:val="0"/>
        <w:numPr>
          <w:ilvl w:val="0"/>
          <w:numId w:val="19"/>
        </w:numPr>
        <w:spacing w:after="0" w:line="276" w:lineRule="auto"/>
        <w:rPr>
          <w:sz w:val="22"/>
        </w:rPr>
      </w:pPr>
      <w:r w:rsidRPr="00920AA1">
        <w:rPr>
          <w:sz w:val="22"/>
        </w:rPr>
        <w:t>The regions do not collect data on education activities</w:t>
      </w:r>
    </w:p>
    <w:p w:rsidR="00810A01" w:rsidRPr="00920AA1" w:rsidRDefault="00810A01" w:rsidP="00920AA1">
      <w:pPr>
        <w:pStyle w:val="Zkladntext"/>
        <w:widowControl w:val="0"/>
        <w:numPr>
          <w:ilvl w:val="0"/>
          <w:numId w:val="19"/>
        </w:numPr>
        <w:spacing w:after="0" w:line="276" w:lineRule="auto"/>
        <w:rPr>
          <w:sz w:val="22"/>
        </w:rPr>
      </w:pPr>
      <w:r w:rsidRPr="00920AA1">
        <w:rPr>
          <w:sz w:val="22"/>
        </w:rPr>
        <w:t>Nevertheless there are many events that are organised by various departments and that could fall under Adult Education – courses for seniors, guided tours of local sights, conferences, exhibitions, lectures, cultural events, local newspapers explaining the work of self-governments, etc.</w:t>
      </w:r>
    </w:p>
    <w:p w:rsidR="00810A01" w:rsidRPr="00920AA1" w:rsidRDefault="00810A01" w:rsidP="00920AA1">
      <w:pPr>
        <w:pStyle w:val="Zkladntext"/>
        <w:widowControl w:val="0"/>
        <w:numPr>
          <w:ilvl w:val="0"/>
          <w:numId w:val="19"/>
        </w:numPr>
        <w:spacing w:after="0" w:line="276" w:lineRule="auto"/>
        <w:rPr>
          <w:sz w:val="22"/>
        </w:rPr>
      </w:pPr>
      <w:r w:rsidRPr="00920AA1">
        <w:rPr>
          <w:sz w:val="22"/>
        </w:rPr>
        <w:t>They work with Labour Offices and Employers in the regions (at least on the platform of a Regional Committee for Vocational Education and Training) to establish the numbers of students in VET schools and thus respond to the demands from the job market</w:t>
      </w:r>
    </w:p>
    <w:p w:rsidR="00810A01" w:rsidRPr="00920AA1" w:rsidRDefault="00810A01" w:rsidP="00920AA1">
      <w:pPr>
        <w:pStyle w:val="Zkladntext"/>
        <w:widowControl w:val="0"/>
        <w:numPr>
          <w:ilvl w:val="0"/>
          <w:numId w:val="19"/>
        </w:numPr>
        <w:spacing w:after="0" w:line="276" w:lineRule="auto"/>
        <w:rPr>
          <w:sz w:val="22"/>
        </w:rPr>
      </w:pPr>
      <w:r w:rsidRPr="00920AA1">
        <w:rPr>
          <w:sz w:val="22"/>
        </w:rPr>
        <w:t>The regions also cooperate with various NGOs, mainly on the basis of a project initiated by an NGO</w:t>
      </w:r>
    </w:p>
    <w:p w:rsidR="00810A01" w:rsidRPr="00920AA1" w:rsidRDefault="00810A01" w:rsidP="00920AA1">
      <w:pPr>
        <w:pStyle w:val="Zkladntext"/>
        <w:widowControl w:val="0"/>
        <w:numPr>
          <w:ilvl w:val="0"/>
          <w:numId w:val="19"/>
        </w:numPr>
        <w:spacing w:after="0" w:line="276" w:lineRule="auto"/>
        <w:rPr>
          <w:sz w:val="22"/>
        </w:rPr>
      </w:pPr>
      <w:r w:rsidRPr="00920AA1">
        <w:rPr>
          <w:sz w:val="22"/>
        </w:rPr>
        <w:t>They rarely encourage secondary schools to provide second chance education or courses for adults</w:t>
      </w:r>
    </w:p>
    <w:p w:rsidR="00267998" w:rsidRDefault="00267998" w:rsidP="00267998">
      <w:pPr>
        <w:pStyle w:val="Zkladntext"/>
        <w:widowControl w:val="0"/>
        <w:spacing w:after="0" w:line="240" w:lineRule="auto"/>
        <w:ind w:left="464" w:right="551"/>
        <w:rPr>
          <w:rFonts w:cs="Arial"/>
          <w:sz w:val="24"/>
        </w:rPr>
      </w:pPr>
    </w:p>
    <w:p w:rsidR="00810A01" w:rsidRDefault="00267998" w:rsidP="00267998">
      <w:pPr>
        <w:pStyle w:val="Nadpis4"/>
      </w:pPr>
      <w:r>
        <w:t>Findings from the town</w:t>
      </w:r>
      <w:r w:rsidR="005930B6">
        <w:t xml:space="preserve"> administrations</w:t>
      </w:r>
    </w:p>
    <w:p w:rsidR="00084398" w:rsidRPr="006939D3" w:rsidRDefault="00084398" w:rsidP="00084398">
      <w:pPr>
        <w:rPr>
          <w:rFonts w:asciiTheme="minorHAnsi" w:hAnsiTheme="minorHAnsi" w:cstheme="minorHAnsi"/>
        </w:rPr>
      </w:pPr>
      <w:r w:rsidRPr="006939D3">
        <w:rPr>
          <w:rFonts w:asciiTheme="minorHAnsi" w:hAnsiTheme="minorHAnsi" w:cstheme="minorHAnsi"/>
        </w:rPr>
        <w:t xml:space="preserve"> </w:t>
      </w:r>
    </w:p>
    <w:p w:rsidR="0092030B" w:rsidRPr="005930B6" w:rsidRDefault="0092030B" w:rsidP="00920AA1">
      <w:pPr>
        <w:pStyle w:val="Zkladntext"/>
        <w:widowControl w:val="0"/>
        <w:numPr>
          <w:ilvl w:val="0"/>
          <w:numId w:val="19"/>
        </w:numPr>
        <w:spacing w:after="0" w:line="276" w:lineRule="auto"/>
        <w:rPr>
          <w:sz w:val="22"/>
          <w:szCs w:val="20"/>
        </w:rPr>
      </w:pPr>
      <w:r w:rsidRPr="005930B6">
        <w:rPr>
          <w:sz w:val="22"/>
          <w:szCs w:val="20"/>
        </w:rPr>
        <w:t>The concept of adult education is well understood and i tis present (in various forms) also in strategic documents. However in real life i tis connected mainly with education of internal staff or public servatns (pedagogues, social and health care services staff)</w:t>
      </w:r>
    </w:p>
    <w:p w:rsidR="0092030B" w:rsidRPr="005930B6" w:rsidRDefault="0092030B" w:rsidP="00920AA1">
      <w:pPr>
        <w:pStyle w:val="Zkladntext"/>
        <w:widowControl w:val="0"/>
        <w:numPr>
          <w:ilvl w:val="0"/>
          <w:numId w:val="19"/>
        </w:numPr>
        <w:spacing w:after="0" w:line="276" w:lineRule="auto"/>
        <w:rPr>
          <w:sz w:val="22"/>
          <w:szCs w:val="20"/>
        </w:rPr>
      </w:pPr>
      <w:r w:rsidRPr="005930B6">
        <w:rPr>
          <w:sz w:val="22"/>
          <w:szCs w:val="20"/>
        </w:rPr>
        <w:t>They have their strategic documents, however more important are action plans that are more concrete and contain measures that will be financed, mainly from the structural funds</w:t>
      </w:r>
    </w:p>
    <w:p w:rsidR="0092030B" w:rsidRPr="005930B6" w:rsidRDefault="0092030B" w:rsidP="00920AA1">
      <w:pPr>
        <w:pStyle w:val="Zkladntext"/>
        <w:widowControl w:val="0"/>
        <w:numPr>
          <w:ilvl w:val="0"/>
          <w:numId w:val="19"/>
        </w:numPr>
        <w:spacing w:after="0" w:line="276" w:lineRule="auto"/>
        <w:rPr>
          <w:sz w:val="22"/>
          <w:szCs w:val="20"/>
        </w:rPr>
      </w:pPr>
      <w:r w:rsidRPr="005930B6">
        <w:rPr>
          <w:sz w:val="22"/>
          <w:szCs w:val="20"/>
        </w:rPr>
        <w:t>Regarding the priorities, adult aducation should cater for involvement of citizens to the community life, inclusion, and interest education. However, they feel they should rather „create conditions“ then provide education.</w:t>
      </w:r>
    </w:p>
    <w:p w:rsidR="0092030B" w:rsidRPr="005930B6" w:rsidRDefault="0092030B" w:rsidP="00920AA1">
      <w:pPr>
        <w:pStyle w:val="Zkladntext"/>
        <w:widowControl w:val="0"/>
        <w:numPr>
          <w:ilvl w:val="0"/>
          <w:numId w:val="19"/>
        </w:numPr>
        <w:spacing w:after="0" w:line="276" w:lineRule="auto"/>
        <w:rPr>
          <w:sz w:val="22"/>
          <w:szCs w:val="20"/>
        </w:rPr>
      </w:pPr>
      <w:r w:rsidRPr="005930B6">
        <w:rPr>
          <w:sz w:val="22"/>
          <w:szCs w:val="20"/>
        </w:rPr>
        <w:t>Respondents were able to list a number of various activities that are example of adult education which were organised within other „chapters“ of activities such as handicapped, senior, mothers with children, or general public.</w:t>
      </w:r>
    </w:p>
    <w:p w:rsidR="00B06AF5" w:rsidRPr="005930B6" w:rsidRDefault="0092030B" w:rsidP="00920AA1">
      <w:pPr>
        <w:pStyle w:val="Zkladntext"/>
        <w:widowControl w:val="0"/>
        <w:numPr>
          <w:ilvl w:val="0"/>
          <w:numId w:val="19"/>
        </w:numPr>
        <w:spacing w:after="0" w:line="276" w:lineRule="auto"/>
        <w:rPr>
          <w:sz w:val="22"/>
          <w:szCs w:val="20"/>
        </w:rPr>
      </w:pPr>
      <w:r w:rsidRPr="005930B6">
        <w:rPr>
          <w:sz w:val="22"/>
          <w:szCs w:val="20"/>
        </w:rPr>
        <w:t>In general they do not collect any specific information that could help define education needs</w:t>
      </w:r>
      <w:r w:rsidR="00B06AF5" w:rsidRPr="005930B6">
        <w:rPr>
          <w:sz w:val="22"/>
          <w:szCs w:val="20"/>
        </w:rPr>
        <w:t xml:space="preserve"> nor they provide the information on educa</w:t>
      </w:r>
      <w:r w:rsidR="00920AA1">
        <w:rPr>
          <w:sz w:val="22"/>
          <w:szCs w:val="20"/>
        </w:rPr>
        <w:t>tion.</w:t>
      </w:r>
    </w:p>
    <w:p w:rsidR="0092030B" w:rsidRPr="005930B6" w:rsidRDefault="00B06AF5" w:rsidP="00920AA1">
      <w:pPr>
        <w:pStyle w:val="Zkladntext"/>
        <w:widowControl w:val="0"/>
        <w:numPr>
          <w:ilvl w:val="0"/>
          <w:numId w:val="19"/>
        </w:numPr>
        <w:spacing w:after="0" w:line="276" w:lineRule="auto"/>
        <w:rPr>
          <w:sz w:val="22"/>
          <w:szCs w:val="20"/>
        </w:rPr>
      </w:pPr>
      <w:r w:rsidRPr="005930B6">
        <w:rPr>
          <w:sz w:val="22"/>
          <w:szCs w:val="20"/>
        </w:rPr>
        <w:t>Career guidance is not provided</w:t>
      </w:r>
      <w:r w:rsidR="0092030B" w:rsidRPr="005930B6">
        <w:rPr>
          <w:sz w:val="22"/>
          <w:szCs w:val="20"/>
        </w:rPr>
        <w:t xml:space="preserve"> </w:t>
      </w:r>
      <w:r w:rsidRPr="005930B6">
        <w:rPr>
          <w:sz w:val="22"/>
          <w:szCs w:val="20"/>
        </w:rPr>
        <w:t>or planned, although there is agreement it would be useful.</w:t>
      </w:r>
    </w:p>
    <w:p w:rsidR="00084398" w:rsidRPr="006939D3" w:rsidRDefault="00084398" w:rsidP="00084398">
      <w:pPr>
        <w:pStyle w:val="Zkladntext"/>
        <w:shd w:val="clear" w:color="auto" w:fill="FFFFFF" w:themeFill="background1"/>
        <w:tabs>
          <w:tab w:val="left" w:pos="837"/>
        </w:tabs>
        <w:spacing w:before="77" w:line="276" w:lineRule="auto"/>
        <w:ind w:left="720" w:right="114"/>
        <w:rPr>
          <w:rFonts w:asciiTheme="minorHAnsi" w:hAnsiTheme="minorHAnsi" w:cstheme="minorHAnsi"/>
          <w:sz w:val="24"/>
          <w:lang w:val="sk-SK"/>
        </w:rPr>
      </w:pPr>
    </w:p>
    <w:p w:rsidR="00810A01" w:rsidRDefault="006975DD" w:rsidP="00554053">
      <w:pPr>
        <w:pStyle w:val="Nadpis3"/>
      </w:pPr>
      <w:bookmarkStart w:id="16" w:name="_Toc9940770"/>
      <w:r>
        <w:t xml:space="preserve">Findings </w:t>
      </w:r>
      <w:r w:rsidR="000F40EC">
        <w:t>from various AE providers</w:t>
      </w:r>
      <w:bookmarkEnd w:id="16"/>
    </w:p>
    <w:p w:rsidR="002E612A" w:rsidRPr="002E612A" w:rsidRDefault="002E612A" w:rsidP="002E612A">
      <w:pPr>
        <w:pStyle w:val="Zkladntext"/>
      </w:pPr>
    </w:p>
    <w:p w:rsidR="00810A01" w:rsidRDefault="00810A01" w:rsidP="00554053">
      <w:pPr>
        <w:pStyle w:val="Nadpis4"/>
      </w:pPr>
      <w:r w:rsidRPr="00A8589E">
        <w:t>Universities of Third Age</w:t>
      </w:r>
      <w:r w:rsidR="000F40EC">
        <w:t xml:space="preserve"> (UTA)</w:t>
      </w:r>
    </w:p>
    <w:p w:rsidR="000F40EC" w:rsidRDefault="000F40EC" w:rsidP="000F40EC">
      <w:pPr>
        <w:jc w:val="both"/>
        <w:rPr>
          <w:rFonts w:cstheme="minorHAnsi"/>
        </w:rPr>
      </w:pPr>
    </w:p>
    <w:p w:rsidR="000F40EC" w:rsidRPr="00920AA1" w:rsidRDefault="000F40EC" w:rsidP="000F40EC">
      <w:pPr>
        <w:jc w:val="both"/>
        <w:rPr>
          <w:rFonts w:cstheme="minorHAnsi"/>
          <w:sz w:val="22"/>
        </w:rPr>
      </w:pPr>
      <w:r w:rsidRPr="00920AA1">
        <w:rPr>
          <w:rFonts w:cstheme="minorHAnsi"/>
          <w:sz w:val="22"/>
        </w:rPr>
        <w:lastRenderedPageBreak/>
        <w:t>UTA are established under universities, often as part of Centres of Further Education or similar.</w:t>
      </w:r>
      <w:r w:rsidRPr="00920AA1">
        <w:rPr>
          <w:rStyle w:val="Odkaznapoznmkupodiarou"/>
          <w:rFonts w:cstheme="minorHAnsi"/>
          <w:sz w:val="22"/>
        </w:rPr>
        <w:footnoteReference w:id="2"/>
      </w:r>
      <w:r w:rsidRPr="00920AA1">
        <w:rPr>
          <w:rFonts w:cstheme="minorHAnsi"/>
          <w:sz w:val="22"/>
        </w:rPr>
        <w:t xml:space="preserve"> UTA are primarily focused on seniors, but many accept students from 40 years of age. UTAs are in their work guided by various documents – National Strategy of Aging, Strategy on LLL and their mother university strategies. Most UTAs cooperate with other organisations such as </w:t>
      </w:r>
      <w:r w:rsidR="00267998" w:rsidRPr="00920AA1">
        <w:rPr>
          <w:rFonts w:cstheme="minorHAnsi"/>
          <w:sz w:val="22"/>
        </w:rPr>
        <w:t xml:space="preserve">Association of Pensioners, local and regional administrations, </w:t>
      </w:r>
      <w:r w:rsidRPr="00920AA1">
        <w:rPr>
          <w:rFonts w:cstheme="minorHAnsi"/>
          <w:sz w:val="22"/>
        </w:rPr>
        <w:t xml:space="preserve">museums, </w:t>
      </w:r>
      <w:r w:rsidR="00267998" w:rsidRPr="00920AA1">
        <w:rPr>
          <w:rFonts w:cstheme="minorHAnsi"/>
          <w:sz w:val="22"/>
        </w:rPr>
        <w:t xml:space="preserve">and employers. Most of respondents agree that the so-called third mission of universities should be strengthened. </w:t>
      </w:r>
      <w:r w:rsidRPr="00920AA1">
        <w:rPr>
          <w:rFonts w:cstheme="minorHAnsi"/>
          <w:sz w:val="22"/>
        </w:rPr>
        <w:t xml:space="preserve"> </w:t>
      </w:r>
    </w:p>
    <w:p w:rsidR="00554053" w:rsidRPr="00554053" w:rsidRDefault="00554053" w:rsidP="00554053">
      <w:pPr>
        <w:pStyle w:val="Zkladntext"/>
      </w:pPr>
    </w:p>
    <w:p w:rsidR="00810A01" w:rsidRDefault="00810A01" w:rsidP="00554053">
      <w:pPr>
        <w:pStyle w:val="Nadpis4"/>
      </w:pPr>
      <w:r w:rsidRPr="00A8589E">
        <w:t>Centres of Further Education (at universities)</w:t>
      </w:r>
    </w:p>
    <w:p w:rsidR="002E612A" w:rsidRDefault="002E612A" w:rsidP="00F46FD7">
      <w:pPr>
        <w:pStyle w:val="Zkladntext"/>
        <w:rPr>
          <w:sz w:val="22"/>
        </w:rPr>
      </w:pPr>
    </w:p>
    <w:p w:rsidR="00F46FD7" w:rsidRPr="00920AA1" w:rsidRDefault="00F46FD7" w:rsidP="00F46FD7">
      <w:pPr>
        <w:pStyle w:val="Zkladntext"/>
        <w:rPr>
          <w:sz w:val="22"/>
        </w:rPr>
      </w:pPr>
      <w:r w:rsidRPr="00920AA1">
        <w:rPr>
          <w:sz w:val="22"/>
        </w:rPr>
        <w:t xml:space="preserve">There is no rule on drafting a strategic </w:t>
      </w:r>
      <w:r w:rsidR="00325A38" w:rsidRPr="00920AA1">
        <w:rPr>
          <w:sz w:val="22"/>
        </w:rPr>
        <w:t>document for the centres – it seems they are fairly independent in drafting their offer. They mostly rely on own capacities in provision of education activities. They are interested in quality and they measure it mostly through feedback forms. They consider also accreditation as a certain guarantee of quality and would welcome if the administrative burden was lower. Most of the centres list the financing as a mean of increasing the participation of adults in LLL. Out of the list of key competences, they feel the language and digital competence are most needed to be developed.</w:t>
      </w:r>
    </w:p>
    <w:p w:rsidR="004B378F" w:rsidRDefault="004B378F" w:rsidP="00554053">
      <w:pPr>
        <w:pStyle w:val="Nadpis4"/>
      </w:pPr>
      <w:r>
        <w:t>S</w:t>
      </w:r>
      <w:r w:rsidR="00810A01" w:rsidRPr="00A8589E">
        <w:t xml:space="preserve">econdary schools </w:t>
      </w:r>
    </w:p>
    <w:p w:rsidR="004B378F" w:rsidRDefault="004B378F" w:rsidP="00554053">
      <w:pPr>
        <w:pStyle w:val="Zkladntext"/>
        <w:widowControl w:val="0"/>
        <w:spacing w:after="0" w:line="240" w:lineRule="auto"/>
        <w:ind w:left="1904" w:right="551"/>
        <w:rPr>
          <w:rFonts w:cs="Arial"/>
          <w:spacing w:val="12"/>
          <w:sz w:val="22"/>
          <w:szCs w:val="22"/>
        </w:rPr>
      </w:pPr>
    </w:p>
    <w:p w:rsidR="00810A01" w:rsidRPr="00920AA1" w:rsidRDefault="00831D0C" w:rsidP="00920AA1">
      <w:pPr>
        <w:pStyle w:val="Zkladntext"/>
        <w:widowControl w:val="0"/>
        <w:spacing w:after="0" w:line="276" w:lineRule="auto"/>
        <w:rPr>
          <w:sz w:val="22"/>
        </w:rPr>
      </w:pPr>
      <w:r w:rsidRPr="00920AA1">
        <w:rPr>
          <w:sz w:val="22"/>
        </w:rPr>
        <w:t xml:space="preserve">They can </w:t>
      </w:r>
      <w:r w:rsidR="00810A01" w:rsidRPr="00920AA1">
        <w:rPr>
          <w:sz w:val="22"/>
        </w:rPr>
        <w:t xml:space="preserve">provide Second Chance Education, </w:t>
      </w:r>
      <w:r w:rsidRPr="00920AA1">
        <w:rPr>
          <w:sz w:val="22"/>
        </w:rPr>
        <w:t xml:space="preserve">and various forms of </w:t>
      </w:r>
      <w:r w:rsidR="00810A01" w:rsidRPr="00920AA1">
        <w:rPr>
          <w:sz w:val="22"/>
        </w:rPr>
        <w:t>Post-secondary education</w:t>
      </w:r>
      <w:r w:rsidRPr="00920AA1">
        <w:rPr>
          <w:sz w:val="22"/>
        </w:rPr>
        <w:t xml:space="preserve"> and Vocational study for adults.</w:t>
      </w:r>
      <w:r w:rsidR="00810A01" w:rsidRPr="00920AA1">
        <w:rPr>
          <w:sz w:val="22"/>
        </w:rPr>
        <w:t xml:space="preserve"> They can be transformed in so-called Centres of vocational education and training which are expected to care </w:t>
      </w:r>
      <w:r w:rsidRPr="00920AA1">
        <w:rPr>
          <w:sz w:val="22"/>
        </w:rPr>
        <w:t xml:space="preserve">also </w:t>
      </w:r>
      <w:r w:rsidR="00810A01" w:rsidRPr="00920AA1">
        <w:rPr>
          <w:sz w:val="22"/>
        </w:rPr>
        <w:t>for the adults</w:t>
      </w:r>
      <w:r w:rsidRPr="00920AA1">
        <w:rPr>
          <w:sz w:val="22"/>
        </w:rPr>
        <w:t xml:space="preserve">, apart from being well-equipped practise centres for students. It is usually the schools who initiate these forms of adult education, not requested by regional authorities. Sometimes it is supported through eh Labour Office, or employers. </w:t>
      </w:r>
      <w:r w:rsidR="000E70E8" w:rsidRPr="00920AA1">
        <w:rPr>
          <w:sz w:val="22"/>
        </w:rPr>
        <w:t>As a barrier in providing such education, the schools mention financing (lower sums than for regular students), insufficient space and low interest of students. The information on study possibilities is not promoted much, only through the schools.</w:t>
      </w:r>
    </w:p>
    <w:p w:rsidR="004B378F" w:rsidRDefault="004B378F" w:rsidP="00554053">
      <w:pPr>
        <w:pStyle w:val="Zkladntext"/>
        <w:widowControl w:val="0"/>
        <w:spacing w:after="0" w:line="240" w:lineRule="auto"/>
        <w:ind w:left="1184" w:right="551"/>
        <w:rPr>
          <w:rFonts w:cs="Arial"/>
          <w:spacing w:val="12"/>
          <w:sz w:val="22"/>
          <w:szCs w:val="22"/>
        </w:rPr>
      </w:pPr>
    </w:p>
    <w:p w:rsidR="004B378F" w:rsidRDefault="004B378F" w:rsidP="00554053">
      <w:pPr>
        <w:pStyle w:val="Zkladntext"/>
        <w:widowControl w:val="0"/>
        <w:spacing w:after="0" w:line="240" w:lineRule="auto"/>
        <w:ind w:right="551"/>
        <w:rPr>
          <w:rFonts w:cs="Arial"/>
          <w:spacing w:val="12"/>
          <w:sz w:val="22"/>
          <w:szCs w:val="22"/>
        </w:rPr>
      </w:pPr>
    </w:p>
    <w:p w:rsidR="00810A01" w:rsidRDefault="00810A01" w:rsidP="00554053">
      <w:pPr>
        <w:pStyle w:val="Nadpis4"/>
      </w:pPr>
      <w:r w:rsidRPr="00A8589E">
        <w:t>Museums, libraries, religious organisations</w:t>
      </w:r>
    </w:p>
    <w:p w:rsidR="00E130E2" w:rsidRPr="006939D3" w:rsidRDefault="00E130E2" w:rsidP="00E130E2">
      <w:pPr>
        <w:spacing w:line="240" w:lineRule="auto"/>
        <w:jc w:val="both"/>
        <w:rPr>
          <w:rFonts w:asciiTheme="minorHAnsi" w:hAnsiTheme="minorHAnsi"/>
          <w:color w:val="404040"/>
          <w:lang w:eastAsia="sk-SK"/>
        </w:rPr>
      </w:pPr>
      <w:r w:rsidRPr="006939D3">
        <w:rPr>
          <w:rFonts w:asciiTheme="minorHAnsi" w:hAnsiTheme="minorHAnsi"/>
          <w:color w:val="404040"/>
          <w:lang w:eastAsia="sk-SK"/>
        </w:rPr>
        <w:t xml:space="preserve"> </w:t>
      </w:r>
    </w:p>
    <w:p w:rsidR="00E130E2" w:rsidRPr="00920AA1" w:rsidRDefault="00E130E2" w:rsidP="00E130E2">
      <w:pPr>
        <w:pStyle w:val="Zkladntext"/>
        <w:rPr>
          <w:sz w:val="22"/>
        </w:rPr>
      </w:pPr>
      <w:r w:rsidRPr="00920AA1">
        <w:rPr>
          <w:sz w:val="22"/>
        </w:rPr>
        <w:t xml:space="preserve">The Association of Museums in Slovakia through its Expert Commission for Education and Training in Museums administers a new platform Central portal of educational activities of museums. The goal of the Commission is to help the museum pedagogues develop education activities for visitors. Currently there are 78 programmes on the portal. </w:t>
      </w:r>
      <w:r w:rsidR="00BA45D3" w:rsidRPr="00920AA1">
        <w:rPr>
          <w:sz w:val="22"/>
        </w:rPr>
        <w:t>According to the responses to questionnaires (21 museums responded), m</w:t>
      </w:r>
      <w:r w:rsidRPr="00920AA1">
        <w:rPr>
          <w:sz w:val="22"/>
        </w:rPr>
        <w:t xml:space="preserve">ost of education activities provided by museums are targeted to </w:t>
      </w:r>
      <w:r w:rsidR="00BA45D3" w:rsidRPr="00920AA1">
        <w:rPr>
          <w:sz w:val="22"/>
        </w:rPr>
        <w:t>(</w:t>
      </w:r>
      <w:r w:rsidRPr="00920AA1">
        <w:rPr>
          <w:sz w:val="22"/>
        </w:rPr>
        <w:t>school</w:t>
      </w:r>
      <w:r w:rsidR="00BA45D3" w:rsidRPr="00920AA1">
        <w:rPr>
          <w:sz w:val="22"/>
        </w:rPr>
        <w:t>)</w:t>
      </w:r>
      <w:r w:rsidRPr="00920AA1">
        <w:rPr>
          <w:sz w:val="22"/>
        </w:rPr>
        <w:t xml:space="preserve"> children</w:t>
      </w:r>
      <w:r w:rsidR="00BA45D3" w:rsidRPr="00920AA1">
        <w:rPr>
          <w:sz w:val="22"/>
        </w:rPr>
        <w:t xml:space="preserve">, then general public and teachers. The programmes are in general not accredited, and are not based on a specific education strategy plan. The museums stated that the activities mostly belong to group of interest and civic education.   </w:t>
      </w:r>
    </w:p>
    <w:p w:rsidR="00E130E2" w:rsidRPr="00E130E2" w:rsidRDefault="00E130E2" w:rsidP="00E130E2">
      <w:pPr>
        <w:pStyle w:val="Zkladntext"/>
      </w:pPr>
    </w:p>
    <w:p w:rsidR="000E70E8" w:rsidRDefault="00AC0526" w:rsidP="00554053">
      <w:pPr>
        <w:pStyle w:val="Nadpis4"/>
      </w:pPr>
      <w:r>
        <w:t xml:space="preserve">Private and public </w:t>
      </w:r>
      <w:r w:rsidR="00810A01" w:rsidRPr="00A8589E">
        <w:t xml:space="preserve">AE providers </w:t>
      </w:r>
    </w:p>
    <w:p w:rsidR="00810A01" w:rsidRPr="00920AA1" w:rsidRDefault="00CC21F4" w:rsidP="00554053">
      <w:pPr>
        <w:pStyle w:val="Nadpis4"/>
        <w:numPr>
          <w:ilvl w:val="0"/>
          <w:numId w:val="0"/>
        </w:numPr>
        <w:rPr>
          <w:i w:val="0"/>
          <w:sz w:val="22"/>
        </w:rPr>
      </w:pPr>
      <w:r w:rsidRPr="00920AA1">
        <w:rPr>
          <w:i w:val="0"/>
          <w:sz w:val="22"/>
        </w:rPr>
        <w:t>Since the types of providers are varied, such as p</w:t>
      </w:r>
      <w:r w:rsidR="000E70E8" w:rsidRPr="00920AA1">
        <w:rPr>
          <w:i w:val="0"/>
          <w:sz w:val="22"/>
        </w:rPr>
        <w:t>rivate institutions</w:t>
      </w:r>
      <w:r w:rsidRPr="00920AA1">
        <w:rPr>
          <w:i w:val="0"/>
          <w:sz w:val="22"/>
        </w:rPr>
        <w:t xml:space="preserve">, </w:t>
      </w:r>
      <w:r w:rsidR="00810A01" w:rsidRPr="00920AA1">
        <w:rPr>
          <w:i w:val="0"/>
          <w:sz w:val="22"/>
        </w:rPr>
        <w:t>NGOs, public bodies</w:t>
      </w:r>
      <w:r w:rsidRPr="00920AA1">
        <w:rPr>
          <w:i w:val="0"/>
          <w:sz w:val="22"/>
        </w:rPr>
        <w:t>, their experience and standing differs. They mostly provide education to employers, or for specific qualifications.</w:t>
      </w:r>
      <w:r w:rsidR="00F27388" w:rsidRPr="00920AA1">
        <w:rPr>
          <w:i w:val="0"/>
          <w:sz w:val="22"/>
        </w:rPr>
        <w:t xml:space="preserve"> Their activities are not specially regulated, some of them offer accredited programmes (mainly NGOs and public providers). They would all welcome support in form of information system, promotion / awareness-raising on the value of education and unified requirements for accreditation. With regard to quality assurance, they rely on feed-back from the participants and employers (clients). </w:t>
      </w:r>
      <w:r w:rsidR="00EC2B52" w:rsidRPr="00920AA1">
        <w:rPr>
          <w:i w:val="0"/>
          <w:sz w:val="22"/>
        </w:rPr>
        <w:t>They are usually members of various professional associations, chambers, etc. which helps them to network and promote their interests. Many have experience in (international) projects, which is less true with regard to private providers.</w:t>
      </w:r>
    </w:p>
    <w:p w:rsidR="00AC0526" w:rsidRDefault="00AC0526" w:rsidP="00AC0526">
      <w:pPr>
        <w:pStyle w:val="Zkladntext"/>
      </w:pPr>
    </w:p>
    <w:p w:rsidR="00AC0526" w:rsidRPr="00AC0526" w:rsidRDefault="00AC0526" w:rsidP="00AC0526">
      <w:pPr>
        <w:pStyle w:val="Nadpis4"/>
      </w:pPr>
      <w:r>
        <w:t>Regional Development Agencies</w:t>
      </w:r>
    </w:p>
    <w:p w:rsidR="000E70E8" w:rsidRDefault="000E70E8" w:rsidP="00554053">
      <w:pPr>
        <w:pStyle w:val="Zkladntext"/>
      </w:pPr>
    </w:p>
    <w:p w:rsidR="000E70E8" w:rsidRDefault="00493ED2" w:rsidP="00920AA1">
      <w:pPr>
        <w:pStyle w:val="Nadpis2"/>
      </w:pPr>
      <w:bookmarkStart w:id="17" w:name="_Toc9940771"/>
      <w:r>
        <w:t>Career guidance and counselling</w:t>
      </w:r>
      <w:bookmarkEnd w:id="17"/>
    </w:p>
    <w:p w:rsidR="00DF1E35" w:rsidRPr="00920AA1" w:rsidRDefault="00DF1E35" w:rsidP="00DF1E35">
      <w:pPr>
        <w:spacing w:after="120"/>
        <w:jc w:val="both"/>
        <w:rPr>
          <w:sz w:val="22"/>
        </w:rPr>
      </w:pPr>
      <w:r w:rsidRPr="00920AA1">
        <w:rPr>
          <w:sz w:val="22"/>
        </w:rPr>
        <w:t>The Memorandum on Lifelong Learning issued by the European Commission in 2000 stresses the importance of lifelong having access to employment that requires lifelong learning. However, if the adults are expected to learn all their life, they need to have access to career guidance to guide them through the education and training offer. Therefore we believe that any adult education policy needs to take into account also the provision of career guidance and counselling.</w:t>
      </w:r>
    </w:p>
    <w:p w:rsidR="00493ED2" w:rsidRPr="00920AA1" w:rsidRDefault="00DF1E35" w:rsidP="00493ED2">
      <w:pPr>
        <w:spacing w:after="120"/>
        <w:jc w:val="both"/>
        <w:rPr>
          <w:sz w:val="22"/>
        </w:rPr>
      </w:pPr>
      <w:r w:rsidRPr="00920AA1">
        <w:rPr>
          <w:sz w:val="22"/>
        </w:rPr>
        <w:t xml:space="preserve">Career guidance for adults is currently provided by employers for their employees, by Labour Offices for their clients, ie job seekers and by private counsellors. There is no system established that would </w:t>
      </w:r>
      <w:r w:rsidR="001616F6" w:rsidRPr="00920AA1">
        <w:rPr>
          <w:sz w:val="22"/>
        </w:rPr>
        <w:t xml:space="preserve">make the access to career guidance easy and straightforward – when a person leaves the school system, he or she does not have a place to turn to for such service. The nationwide service is provided only for unemployed adults via the Law on employment services. </w:t>
      </w:r>
      <w:r w:rsidR="00493ED2" w:rsidRPr="00920AA1">
        <w:rPr>
          <w:rStyle w:val="Odkaznapoznmkupodiarou"/>
          <w:sz w:val="22"/>
        </w:rPr>
        <w:footnoteReference w:id="3"/>
      </w:r>
      <w:r w:rsidR="00493ED2" w:rsidRPr="00920AA1">
        <w:rPr>
          <w:sz w:val="22"/>
        </w:rPr>
        <w:t xml:space="preserve"> </w:t>
      </w:r>
    </w:p>
    <w:p w:rsidR="00493ED2" w:rsidRDefault="00493ED2" w:rsidP="00493ED2">
      <w:pPr>
        <w:spacing w:after="120"/>
        <w:jc w:val="both"/>
      </w:pPr>
    </w:p>
    <w:p w:rsidR="00493ED2" w:rsidRPr="00493ED2" w:rsidRDefault="00493ED2" w:rsidP="00493ED2">
      <w:pPr>
        <w:pStyle w:val="Zkladntext"/>
      </w:pPr>
    </w:p>
    <w:p w:rsidR="000E70E8" w:rsidRDefault="000E70E8" w:rsidP="00554053">
      <w:pPr>
        <w:pStyle w:val="Odsekzoznamu"/>
        <w:rPr>
          <w:spacing w:val="12"/>
          <w:sz w:val="22"/>
          <w:szCs w:val="22"/>
        </w:rPr>
      </w:pPr>
    </w:p>
    <w:p w:rsidR="000E70E8" w:rsidRPr="00A8589E" w:rsidRDefault="000E70E8" w:rsidP="00554053">
      <w:pPr>
        <w:pStyle w:val="Zkladntext"/>
        <w:widowControl w:val="0"/>
        <w:spacing w:after="0" w:line="240" w:lineRule="auto"/>
        <w:ind w:right="551"/>
        <w:rPr>
          <w:rFonts w:cs="Arial"/>
          <w:spacing w:val="12"/>
          <w:sz w:val="22"/>
          <w:szCs w:val="22"/>
        </w:rPr>
      </w:pPr>
    </w:p>
    <w:p w:rsidR="006975DD" w:rsidRDefault="006975DD" w:rsidP="00554053">
      <w:pPr>
        <w:pStyle w:val="Zkladntext"/>
        <w:ind w:right="551"/>
        <w:rPr>
          <w:rFonts w:cs="Arial"/>
          <w:spacing w:val="12"/>
          <w:sz w:val="22"/>
          <w:szCs w:val="22"/>
        </w:rPr>
      </w:pPr>
    </w:p>
    <w:p w:rsidR="00A942E5" w:rsidRDefault="00920AA1" w:rsidP="00920AA1">
      <w:pPr>
        <w:pStyle w:val="Nadpis1"/>
      </w:pPr>
      <w:bookmarkStart w:id="18" w:name="_Toc9940772"/>
      <w:r>
        <w:lastRenderedPageBreak/>
        <w:t>Conclusions</w:t>
      </w:r>
      <w:bookmarkEnd w:id="18"/>
    </w:p>
    <w:p w:rsidR="00342E93" w:rsidRPr="00A344E8" w:rsidRDefault="00342E93" w:rsidP="00342E93">
      <w:pPr>
        <w:spacing w:after="120"/>
        <w:jc w:val="both"/>
        <w:rPr>
          <w:rFonts w:cs="Arial"/>
          <w:sz w:val="28"/>
        </w:rPr>
      </w:pPr>
      <w:r w:rsidRPr="00A344E8">
        <w:rPr>
          <w:rFonts w:cs="Arial"/>
          <w:sz w:val="22"/>
          <w:szCs w:val="20"/>
        </w:rPr>
        <w:t>The main national actors</w:t>
      </w:r>
      <w:r>
        <w:rPr>
          <w:rFonts w:cs="Arial"/>
          <w:sz w:val="22"/>
          <w:szCs w:val="20"/>
        </w:rPr>
        <w:t xml:space="preserve"> in the adult education</w:t>
      </w:r>
      <w:r w:rsidRPr="00A344E8">
        <w:rPr>
          <w:rFonts w:cs="Arial"/>
          <w:sz w:val="22"/>
          <w:szCs w:val="20"/>
        </w:rPr>
        <w:t xml:space="preserve"> are: </w:t>
      </w:r>
    </w:p>
    <w:p w:rsidR="00342E93" w:rsidRPr="00A344E8" w:rsidRDefault="00342E93" w:rsidP="00342E93">
      <w:pPr>
        <w:pStyle w:val="Odsekzoznamu"/>
        <w:numPr>
          <w:ilvl w:val="0"/>
          <w:numId w:val="3"/>
        </w:numPr>
        <w:spacing w:after="120"/>
        <w:contextualSpacing w:val="0"/>
        <w:jc w:val="both"/>
        <w:rPr>
          <w:sz w:val="28"/>
          <w:lang w:val="en-GB"/>
        </w:rPr>
      </w:pPr>
      <w:r w:rsidRPr="00A344E8">
        <w:rPr>
          <w:sz w:val="22"/>
          <w:szCs w:val="20"/>
          <w:lang w:val="en-GB"/>
        </w:rPr>
        <w:t>Ministry of Education, Science, Youth and Sport. It sets out the main legal and policy framework. The main practical activities are centred around the accreditation of education programmes and the information system of further education;</w:t>
      </w:r>
    </w:p>
    <w:p w:rsidR="00342E93" w:rsidRPr="00A344E8" w:rsidRDefault="00342E93" w:rsidP="00342E93">
      <w:pPr>
        <w:pStyle w:val="Odsekzoznamu"/>
        <w:numPr>
          <w:ilvl w:val="0"/>
          <w:numId w:val="3"/>
        </w:numPr>
        <w:spacing w:after="120"/>
        <w:contextualSpacing w:val="0"/>
        <w:jc w:val="both"/>
        <w:rPr>
          <w:sz w:val="28"/>
          <w:lang w:val="en-GB"/>
        </w:rPr>
      </w:pPr>
      <w:r w:rsidRPr="00A344E8">
        <w:rPr>
          <w:sz w:val="22"/>
          <w:szCs w:val="20"/>
          <w:lang w:val="en-GB"/>
        </w:rPr>
        <w:t>Ministry of Labour, Social Affairs and Family / Central Labour Office with its regional branches. It adopts and implements measures to combat unemployment, support employment and social inclusion via mainly national projects funded through EU funds. The projects often contain A</w:t>
      </w:r>
      <w:r w:rsidR="005455B0">
        <w:rPr>
          <w:sz w:val="22"/>
          <w:szCs w:val="20"/>
          <w:lang w:val="en-GB"/>
        </w:rPr>
        <w:t>E</w:t>
      </w:r>
      <w:r w:rsidRPr="00A344E8">
        <w:rPr>
          <w:sz w:val="22"/>
          <w:szCs w:val="20"/>
          <w:lang w:val="en-GB"/>
        </w:rPr>
        <w:t xml:space="preserve"> activities (e.g. re-qualification) and are implemented in the regions;</w:t>
      </w:r>
    </w:p>
    <w:p w:rsidR="00342E93" w:rsidRPr="00A344E8" w:rsidRDefault="00342E93" w:rsidP="00342E93">
      <w:pPr>
        <w:pStyle w:val="Odsekzoznamu"/>
        <w:numPr>
          <w:ilvl w:val="0"/>
          <w:numId w:val="3"/>
        </w:numPr>
        <w:spacing w:after="240"/>
        <w:jc w:val="both"/>
        <w:rPr>
          <w:sz w:val="28"/>
          <w:lang w:val="en-GB"/>
        </w:rPr>
      </w:pPr>
      <w:r w:rsidRPr="00A344E8">
        <w:rPr>
          <w:sz w:val="22"/>
          <w:szCs w:val="20"/>
          <w:lang w:val="en-GB"/>
        </w:rPr>
        <w:t xml:space="preserve">State Institute of Vocational Education and Training has taken over a number of tasks from the National Institute for Lifelong Learning that was abolished in 2018. It mainly deals with the Agenda on Adult Learning and </w:t>
      </w:r>
      <w:r w:rsidR="005455B0">
        <w:rPr>
          <w:sz w:val="22"/>
          <w:szCs w:val="20"/>
          <w:lang w:val="en-GB"/>
        </w:rPr>
        <w:t>the EPALE platform.</w:t>
      </w:r>
      <w:r w:rsidRPr="00A344E8">
        <w:rPr>
          <w:sz w:val="22"/>
          <w:szCs w:val="20"/>
          <w:lang w:val="en-GB"/>
        </w:rPr>
        <w:t xml:space="preserve"> </w:t>
      </w:r>
    </w:p>
    <w:p w:rsidR="00342E93" w:rsidRPr="00A344E8" w:rsidRDefault="00342E93" w:rsidP="00342E93">
      <w:pPr>
        <w:spacing w:after="240"/>
        <w:jc w:val="both"/>
        <w:rPr>
          <w:rFonts w:cs="Arial"/>
          <w:sz w:val="28"/>
        </w:rPr>
      </w:pPr>
      <w:r w:rsidRPr="00A344E8">
        <w:rPr>
          <w:rFonts w:cs="Arial"/>
          <w:sz w:val="22"/>
          <w:szCs w:val="20"/>
        </w:rPr>
        <w:t>The A</w:t>
      </w:r>
      <w:r>
        <w:rPr>
          <w:rFonts w:cs="Arial"/>
          <w:sz w:val="22"/>
          <w:szCs w:val="20"/>
        </w:rPr>
        <w:t>E</w:t>
      </w:r>
      <w:r w:rsidRPr="00A344E8">
        <w:rPr>
          <w:rFonts w:cs="Arial"/>
          <w:sz w:val="22"/>
          <w:szCs w:val="20"/>
        </w:rPr>
        <w:t xml:space="preserve"> policy is formulated at the national level. The concept of A</w:t>
      </w:r>
      <w:r>
        <w:rPr>
          <w:rFonts w:cs="Arial"/>
          <w:sz w:val="22"/>
          <w:szCs w:val="20"/>
        </w:rPr>
        <w:t>E</w:t>
      </w:r>
      <w:r w:rsidRPr="00A344E8">
        <w:rPr>
          <w:rFonts w:cs="Arial"/>
          <w:sz w:val="22"/>
          <w:szCs w:val="20"/>
        </w:rPr>
        <w:t xml:space="preserve"> policy is not developed at the regional level.</w:t>
      </w:r>
      <w:r w:rsidRPr="00A344E8">
        <w:rPr>
          <w:rFonts w:cs="Arial"/>
          <w:i/>
          <w:sz w:val="22"/>
          <w:szCs w:val="20"/>
        </w:rPr>
        <w:t xml:space="preserve"> </w:t>
      </w:r>
      <w:r w:rsidRPr="00A344E8">
        <w:rPr>
          <w:rFonts w:cs="Arial"/>
          <w:sz w:val="22"/>
          <w:szCs w:val="20"/>
        </w:rPr>
        <w:t>However, there are also regional activities in this area, albeit not recognised as such by name A</w:t>
      </w:r>
      <w:r>
        <w:rPr>
          <w:rFonts w:cs="Arial"/>
          <w:sz w:val="22"/>
          <w:szCs w:val="20"/>
        </w:rPr>
        <w:t>E</w:t>
      </w:r>
      <w:r w:rsidRPr="00A344E8">
        <w:rPr>
          <w:rFonts w:cs="Arial"/>
          <w:sz w:val="22"/>
          <w:szCs w:val="20"/>
        </w:rPr>
        <w:t xml:space="preserve"> (the terminology that is used includes further education, continuous education, requalification). They are included in chapters on Employment or Human Resources within the regional Social and Economic Development Plans. Here the main goals are to create opportunities for labour force to qualify and re-qualify to be able to stay on the job or find a new one.</w:t>
      </w:r>
      <w:r w:rsidRPr="00A344E8">
        <w:rPr>
          <w:rFonts w:cs="Arial"/>
          <w:i/>
          <w:sz w:val="22"/>
          <w:szCs w:val="20"/>
          <w:vertAlign w:val="superscript"/>
        </w:rPr>
        <w:footnoteReference w:id="4"/>
      </w:r>
      <w:r w:rsidRPr="00A344E8">
        <w:rPr>
          <w:rFonts w:cs="Arial"/>
          <w:sz w:val="22"/>
          <w:szCs w:val="20"/>
        </w:rPr>
        <w:t xml:space="preserve"> This is often done in cooperation with regional VET schools and employers.</w:t>
      </w:r>
    </w:p>
    <w:p w:rsidR="00342E93" w:rsidRPr="00A344E8" w:rsidRDefault="00342E93" w:rsidP="00342E93">
      <w:pPr>
        <w:spacing w:after="240"/>
        <w:jc w:val="both"/>
        <w:rPr>
          <w:sz w:val="28"/>
        </w:rPr>
      </w:pPr>
      <w:r w:rsidRPr="00A344E8">
        <w:rPr>
          <w:sz w:val="22"/>
          <w:szCs w:val="20"/>
        </w:rPr>
        <w:t>A strong A</w:t>
      </w:r>
      <w:r>
        <w:rPr>
          <w:sz w:val="22"/>
          <w:szCs w:val="20"/>
        </w:rPr>
        <w:t>E</w:t>
      </w:r>
      <w:r w:rsidRPr="00A344E8">
        <w:rPr>
          <w:sz w:val="22"/>
          <w:szCs w:val="20"/>
        </w:rPr>
        <w:t xml:space="preserve"> element can be found </w:t>
      </w:r>
      <w:r w:rsidR="005455B0">
        <w:rPr>
          <w:sz w:val="22"/>
          <w:szCs w:val="20"/>
        </w:rPr>
        <w:t xml:space="preserve">also </w:t>
      </w:r>
      <w:r w:rsidRPr="00A344E8">
        <w:rPr>
          <w:sz w:val="22"/>
          <w:szCs w:val="20"/>
        </w:rPr>
        <w:t xml:space="preserve">in implementation measures of Law </w:t>
      </w:r>
      <w:r w:rsidRPr="00A344E8">
        <w:rPr>
          <w:sz w:val="22"/>
          <w:szCs w:val="20"/>
          <w:highlight w:val="white"/>
        </w:rPr>
        <w:t>336/2015, relat</w:t>
      </w:r>
      <w:r>
        <w:rPr>
          <w:sz w:val="22"/>
          <w:szCs w:val="20"/>
          <w:highlight w:val="white"/>
        </w:rPr>
        <w:t>ed</w:t>
      </w:r>
      <w:r w:rsidRPr="00A344E8">
        <w:rPr>
          <w:sz w:val="22"/>
          <w:szCs w:val="20"/>
          <w:highlight w:val="white"/>
        </w:rPr>
        <w:t xml:space="preserve"> to support for less developed </w:t>
      </w:r>
      <w:r w:rsidR="00F87E80" w:rsidRPr="005455B0">
        <w:rPr>
          <w:sz w:val="22"/>
          <w:szCs w:val="20"/>
        </w:rPr>
        <w:t>districts</w:t>
      </w:r>
      <w:r w:rsidRPr="00A344E8">
        <w:rPr>
          <w:sz w:val="22"/>
          <w:szCs w:val="20"/>
          <w:highlight w:val="white"/>
        </w:rPr>
        <w:t xml:space="preserve"> in Slovakia. The Action Plans adopted for less developed </w:t>
      </w:r>
      <w:r w:rsidR="005455B0" w:rsidRPr="005455B0">
        <w:rPr>
          <w:sz w:val="22"/>
          <w:szCs w:val="20"/>
        </w:rPr>
        <w:t>districts</w:t>
      </w:r>
      <w:r w:rsidRPr="00A344E8">
        <w:rPr>
          <w:sz w:val="22"/>
          <w:szCs w:val="20"/>
          <w:highlight w:val="white"/>
        </w:rPr>
        <w:t xml:space="preserve"> in Slovakia include vocational education for adults provided by higher vocational schools in the </w:t>
      </w:r>
      <w:r w:rsidR="005455B0">
        <w:rPr>
          <w:sz w:val="22"/>
          <w:szCs w:val="20"/>
          <w:highlight w:val="white"/>
        </w:rPr>
        <w:t>area</w:t>
      </w:r>
      <w:r w:rsidRPr="00A344E8">
        <w:rPr>
          <w:sz w:val="22"/>
          <w:szCs w:val="20"/>
          <w:highlight w:val="white"/>
        </w:rPr>
        <w:t xml:space="preserve">, aiming to reduce the unemployment rate. </w:t>
      </w:r>
    </w:p>
    <w:p w:rsidR="00342E93" w:rsidRPr="00A344E8" w:rsidRDefault="00342E93" w:rsidP="00342E93">
      <w:pPr>
        <w:spacing w:after="240"/>
        <w:jc w:val="both"/>
        <w:rPr>
          <w:sz w:val="28"/>
        </w:rPr>
      </w:pPr>
      <w:r w:rsidRPr="00DA5BF0">
        <w:rPr>
          <w:sz w:val="22"/>
          <w:szCs w:val="20"/>
        </w:rPr>
        <w:t>Further</w:t>
      </w:r>
      <w:r w:rsidR="00F87E80" w:rsidRPr="00DA5BF0">
        <w:rPr>
          <w:sz w:val="22"/>
          <w:szCs w:val="20"/>
        </w:rPr>
        <w:t>/</w:t>
      </w:r>
      <w:r w:rsidR="00F87E80">
        <w:rPr>
          <w:sz w:val="22"/>
          <w:szCs w:val="20"/>
        </w:rPr>
        <w:t>adult</w:t>
      </w:r>
      <w:r w:rsidRPr="00A344E8">
        <w:rPr>
          <w:sz w:val="22"/>
          <w:szCs w:val="20"/>
        </w:rPr>
        <w:t xml:space="preserve"> education is provided by schools (secondary schools and higher educational institutions, such as the “university of third age”) and non-school educational institutions (mainly private educational institutions, company institutes, professional and trade union associations, non-governmental institutions, libraries and cultural centres). </w:t>
      </w:r>
    </w:p>
    <w:p w:rsidR="00342E93" w:rsidRPr="00A344E8" w:rsidRDefault="00342E93" w:rsidP="00342E93">
      <w:pPr>
        <w:spacing w:after="240"/>
        <w:jc w:val="both"/>
        <w:rPr>
          <w:sz w:val="28"/>
        </w:rPr>
      </w:pPr>
      <w:r w:rsidRPr="00A344E8">
        <w:rPr>
          <w:sz w:val="22"/>
          <w:szCs w:val="20"/>
        </w:rPr>
        <w:t>A significant part of adult education takes place at the workplace and is paid for by the employer (with a possibility to obtain financial subsidies, for example from European sources). This mostly includes the development of specialisations, upskilling of employees, or re-qualification. Bigger companies and businesses often have their own teachers and trainers. Smaller businesses often opt for employee participation in (accredited) educational programmes in further education institutions.</w:t>
      </w:r>
    </w:p>
    <w:p w:rsidR="00342E93" w:rsidRPr="00A8589E" w:rsidRDefault="00342E93" w:rsidP="00342E93">
      <w:pPr>
        <w:spacing w:after="240"/>
        <w:jc w:val="both"/>
      </w:pPr>
      <w:r w:rsidRPr="00A344E8">
        <w:rPr>
          <w:sz w:val="22"/>
          <w:szCs w:val="20"/>
        </w:rPr>
        <w:lastRenderedPageBreak/>
        <w:t>Many of the training providers are members of the Association of Institutions of Adult Education in the Slovak Republic (AIVD SR, member of the European Association for the Education of Adults - EAEA), the Slovak Academic Association for Lifelong Learning, Association of Language Schools, or the Association of Universities of the Third Age in Slovakia.</w:t>
      </w:r>
    </w:p>
    <w:p w:rsidR="002218F4" w:rsidRPr="002218F4" w:rsidRDefault="002218F4" w:rsidP="002218F4">
      <w:pPr>
        <w:pStyle w:val="Zkladntext"/>
      </w:pPr>
    </w:p>
    <w:sectPr w:rsidR="002218F4" w:rsidRPr="002218F4" w:rsidSect="00F13A0E">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883" w:rsidRDefault="00691883" w:rsidP="00570FEA">
      <w:pPr>
        <w:spacing w:line="240" w:lineRule="auto"/>
      </w:pPr>
      <w:r>
        <w:separator/>
      </w:r>
    </w:p>
  </w:endnote>
  <w:endnote w:type="continuationSeparator" w:id="0">
    <w:p w:rsidR="00691883" w:rsidRDefault="00691883" w:rsidP="00570F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955622"/>
      <w:docPartObj>
        <w:docPartGallery w:val="Page Numbers (Bottom of Page)"/>
        <w:docPartUnique/>
      </w:docPartObj>
    </w:sdtPr>
    <w:sdtEndPr>
      <w:rPr>
        <w:noProof/>
      </w:rPr>
    </w:sdtEndPr>
    <w:sdtContent>
      <w:p w:rsidR="00D55391" w:rsidRDefault="00D55391">
        <w:pPr>
          <w:pStyle w:val="Pta"/>
          <w:jc w:val="center"/>
        </w:pPr>
        <w:r>
          <w:fldChar w:fldCharType="begin"/>
        </w:r>
        <w:r>
          <w:instrText xml:space="preserve"> PAGE   \* MERGEFORMAT </w:instrText>
        </w:r>
        <w:r>
          <w:fldChar w:fldCharType="separate"/>
        </w:r>
        <w:r w:rsidR="004F209F">
          <w:rPr>
            <w:noProof/>
          </w:rPr>
          <w:t>1</w:t>
        </w:r>
        <w:r>
          <w:rPr>
            <w:noProof/>
          </w:rPr>
          <w:fldChar w:fldCharType="end"/>
        </w:r>
      </w:p>
    </w:sdtContent>
  </w:sdt>
  <w:p w:rsidR="00D55391" w:rsidRDefault="00D55391">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883" w:rsidRDefault="00691883" w:rsidP="00570FEA">
      <w:pPr>
        <w:spacing w:line="240" w:lineRule="auto"/>
      </w:pPr>
      <w:r>
        <w:separator/>
      </w:r>
    </w:p>
  </w:footnote>
  <w:footnote w:type="continuationSeparator" w:id="0">
    <w:p w:rsidR="00691883" w:rsidRDefault="00691883" w:rsidP="00570FEA">
      <w:pPr>
        <w:spacing w:line="240" w:lineRule="auto"/>
      </w:pPr>
      <w:r>
        <w:continuationSeparator/>
      </w:r>
    </w:p>
  </w:footnote>
  <w:footnote w:id="1">
    <w:p w:rsidR="00691883" w:rsidRPr="00691883" w:rsidRDefault="00691883" w:rsidP="000C63B5">
      <w:pPr>
        <w:pStyle w:val="Textpoznmkypodiarou"/>
        <w:spacing w:line="240" w:lineRule="auto"/>
        <w:ind w:left="0"/>
        <w:rPr>
          <w:lang w:val="sk-SK"/>
        </w:rPr>
      </w:pPr>
      <w:r>
        <w:rPr>
          <w:rStyle w:val="Odkaznapoznmkupodiarou"/>
        </w:rPr>
        <w:footnoteRef/>
      </w:r>
      <w:r w:rsidR="000C63B5" w:rsidRPr="000C63B5">
        <w:rPr>
          <w:rFonts w:asciiTheme="minorHAnsi" w:hAnsiTheme="minorHAnsi" w:cstheme="minorHAnsi"/>
          <w:sz w:val="20"/>
          <w:szCs w:val="24"/>
        </w:rPr>
        <w:t>Ministry of Education – Dpt of Lifelong Learning, Association if Institutes of Adult Education (AIVD), Association of Cultural and Awareness-raising Institutions (AKOI), University of Economics and Management of Public Administration (VŠEMVS) in Bratislava, Žilina University in Žilina, University of Matej Bel in Banská Bystrica, Prešov University in Prešov, the towns of Trebišov and Hlohovec,  V.A.J.A.K., Ltd, Cultural and Awareness-raising Centre in Nitra, Association for Career Guidance and Career Development (ZKPRK)</w:t>
      </w:r>
    </w:p>
  </w:footnote>
  <w:footnote w:id="2">
    <w:p w:rsidR="00691883" w:rsidRPr="000F40EC" w:rsidRDefault="00691883" w:rsidP="000F40EC">
      <w:pPr>
        <w:pStyle w:val="Textpoznmkypodiarou"/>
        <w:ind w:left="0"/>
        <w:rPr>
          <w:lang w:val="sk-SK"/>
        </w:rPr>
      </w:pPr>
      <w:r>
        <w:rPr>
          <w:rStyle w:val="Odkaznapoznmkupodiarou"/>
        </w:rPr>
        <w:footnoteRef/>
      </w:r>
      <w:r>
        <w:t xml:space="preserve"> </w:t>
      </w:r>
      <w:r>
        <w:rPr>
          <w:lang w:val="sk-SK"/>
        </w:rPr>
        <w:t>Currently there are 20 UTA, 17 of which are members of the Slovak Association of UTA.</w:t>
      </w:r>
    </w:p>
  </w:footnote>
  <w:footnote w:id="3">
    <w:p w:rsidR="00691883" w:rsidRPr="007244E5" w:rsidRDefault="00691883" w:rsidP="001616F6">
      <w:pPr>
        <w:pStyle w:val="Textpoznmkypodiarou"/>
        <w:spacing w:after="80"/>
        <w:ind w:left="0"/>
        <w:rPr>
          <w:szCs w:val="18"/>
        </w:rPr>
      </w:pPr>
      <w:r>
        <w:rPr>
          <w:rStyle w:val="Odkaznapoznmkupodiarou"/>
        </w:rPr>
        <w:footnoteRef/>
      </w:r>
      <w:r>
        <w:t xml:space="preserve">  The career guidance services are fully accessible for students of primary and secondary schools, partially for university students, for handicapped people or other disadvantaged groups of people on the labour market, for unemployed. But they are not accessible for employed adults, for people in the process of lifelong learning or for older people </w:t>
      </w:r>
      <w:r>
        <w:rPr>
          <w:szCs w:val="18"/>
        </w:rPr>
        <w:t xml:space="preserve">(Grajcár, 2011) </w:t>
      </w:r>
    </w:p>
  </w:footnote>
  <w:footnote w:id="4">
    <w:p w:rsidR="00342E93" w:rsidRPr="00F912B7" w:rsidRDefault="00342E93" w:rsidP="00342E93">
      <w:pPr>
        <w:spacing w:line="240" w:lineRule="auto"/>
        <w:rPr>
          <w:rFonts w:cs="Arial"/>
          <w:sz w:val="16"/>
          <w:szCs w:val="16"/>
        </w:rPr>
      </w:pPr>
      <w:r w:rsidRPr="00F912B7">
        <w:rPr>
          <w:rFonts w:cs="Arial"/>
          <w:sz w:val="16"/>
          <w:szCs w:val="16"/>
          <w:vertAlign w:val="superscript"/>
        </w:rPr>
        <w:footnoteRef/>
      </w:r>
      <w:r w:rsidRPr="00F912B7">
        <w:rPr>
          <w:rFonts w:cs="Arial"/>
          <w:sz w:val="16"/>
          <w:szCs w:val="16"/>
        </w:rPr>
        <w:t xml:space="preserve"> Jendeková, M., Cigánová, K. (2014) Country report, AINova, project REGIONAL, 539389-LLP-1-2013-1-DE-GRUNDTVIG-GMP </w:t>
      </w:r>
      <w:hyperlink r:id="rId1">
        <w:r w:rsidRPr="00F912B7">
          <w:rPr>
            <w:rFonts w:cs="Arial"/>
            <w:color w:val="1155CC"/>
            <w:sz w:val="16"/>
            <w:szCs w:val="16"/>
            <w:u w:val="single"/>
          </w:rPr>
          <w:t>http://www.regionalproject.eu/pdf/CP_Slovakia_en.pdf</w:t>
        </w:r>
      </w:hyperlink>
      <w:r w:rsidRPr="00F912B7">
        <w:rPr>
          <w:rFonts w:cs="Arial"/>
          <w:sz w:val="16"/>
          <w:szCs w:val="16"/>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5A695BA"/>
    <w:lvl w:ilvl="0">
      <w:start w:val="1"/>
      <w:numFmt w:val="bullet"/>
      <w:pStyle w:val="Zoznamsodrkami2"/>
      <w:lvlText w:val="►"/>
      <w:lvlJc w:val="left"/>
      <w:pPr>
        <w:tabs>
          <w:tab w:val="num" w:pos="1701"/>
        </w:tabs>
        <w:ind w:left="1701" w:hanging="283"/>
      </w:pPr>
      <w:rPr>
        <w:rFonts w:ascii="Arial" w:hAnsi="Arial" w:hint="default"/>
        <w:sz w:val="20"/>
        <w:szCs w:val="20"/>
      </w:rPr>
    </w:lvl>
  </w:abstractNum>
  <w:abstractNum w:abstractNumId="1" w15:restartNumberingAfterBreak="0">
    <w:nsid w:val="FFFFFF89"/>
    <w:multiLevelType w:val="singleLevel"/>
    <w:tmpl w:val="1FE8577C"/>
    <w:lvl w:ilvl="0">
      <w:start w:val="1"/>
      <w:numFmt w:val="bullet"/>
      <w:pStyle w:val="Zoznamsodrkami"/>
      <w:lvlText w:val=""/>
      <w:lvlJc w:val="left"/>
      <w:pPr>
        <w:tabs>
          <w:tab w:val="num" w:pos="1418"/>
        </w:tabs>
        <w:ind w:left="1418" w:hanging="284"/>
      </w:pPr>
      <w:rPr>
        <w:rFonts w:ascii="Symbol" w:hAnsi="Symbol" w:hint="default"/>
      </w:rPr>
    </w:lvl>
  </w:abstractNum>
  <w:abstractNum w:abstractNumId="2" w15:restartNumberingAfterBreak="0">
    <w:nsid w:val="04085A93"/>
    <w:multiLevelType w:val="hybridMultilevel"/>
    <w:tmpl w:val="1F3CA2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682242"/>
    <w:multiLevelType w:val="hybridMultilevel"/>
    <w:tmpl w:val="FE4EB81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9EC4CE2"/>
    <w:multiLevelType w:val="hybridMultilevel"/>
    <w:tmpl w:val="4F1405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AD6633D"/>
    <w:multiLevelType w:val="hybridMultilevel"/>
    <w:tmpl w:val="A8AC7B08"/>
    <w:lvl w:ilvl="0" w:tplc="576058BC">
      <w:start w:val="1"/>
      <w:numFmt w:val="decimal"/>
      <w:lvlText w:val="%1."/>
      <w:lvlJc w:val="left"/>
      <w:pPr>
        <w:ind w:left="464" w:hanging="360"/>
      </w:pPr>
      <w:rPr>
        <w:rFonts w:hint="default"/>
      </w:rPr>
    </w:lvl>
    <w:lvl w:ilvl="1" w:tplc="041B0019">
      <w:start w:val="1"/>
      <w:numFmt w:val="lowerLetter"/>
      <w:lvlText w:val="%2."/>
      <w:lvlJc w:val="left"/>
      <w:pPr>
        <w:ind w:left="1184" w:hanging="360"/>
      </w:pPr>
    </w:lvl>
    <w:lvl w:ilvl="2" w:tplc="041B001B">
      <w:start w:val="1"/>
      <w:numFmt w:val="lowerRoman"/>
      <w:lvlText w:val="%3."/>
      <w:lvlJc w:val="right"/>
      <w:pPr>
        <w:ind w:left="1904" w:hanging="180"/>
      </w:pPr>
    </w:lvl>
    <w:lvl w:ilvl="3" w:tplc="041B000F" w:tentative="1">
      <w:start w:val="1"/>
      <w:numFmt w:val="decimal"/>
      <w:lvlText w:val="%4."/>
      <w:lvlJc w:val="left"/>
      <w:pPr>
        <w:ind w:left="2624" w:hanging="360"/>
      </w:pPr>
    </w:lvl>
    <w:lvl w:ilvl="4" w:tplc="041B0019" w:tentative="1">
      <w:start w:val="1"/>
      <w:numFmt w:val="lowerLetter"/>
      <w:lvlText w:val="%5."/>
      <w:lvlJc w:val="left"/>
      <w:pPr>
        <w:ind w:left="3344" w:hanging="360"/>
      </w:pPr>
    </w:lvl>
    <w:lvl w:ilvl="5" w:tplc="041B001B" w:tentative="1">
      <w:start w:val="1"/>
      <w:numFmt w:val="lowerRoman"/>
      <w:lvlText w:val="%6."/>
      <w:lvlJc w:val="right"/>
      <w:pPr>
        <w:ind w:left="4064" w:hanging="180"/>
      </w:pPr>
    </w:lvl>
    <w:lvl w:ilvl="6" w:tplc="041B000F" w:tentative="1">
      <w:start w:val="1"/>
      <w:numFmt w:val="decimal"/>
      <w:lvlText w:val="%7."/>
      <w:lvlJc w:val="left"/>
      <w:pPr>
        <w:ind w:left="4784" w:hanging="360"/>
      </w:pPr>
    </w:lvl>
    <w:lvl w:ilvl="7" w:tplc="041B0019" w:tentative="1">
      <w:start w:val="1"/>
      <w:numFmt w:val="lowerLetter"/>
      <w:lvlText w:val="%8."/>
      <w:lvlJc w:val="left"/>
      <w:pPr>
        <w:ind w:left="5504" w:hanging="360"/>
      </w:pPr>
    </w:lvl>
    <w:lvl w:ilvl="8" w:tplc="041B001B" w:tentative="1">
      <w:start w:val="1"/>
      <w:numFmt w:val="lowerRoman"/>
      <w:lvlText w:val="%9."/>
      <w:lvlJc w:val="right"/>
      <w:pPr>
        <w:ind w:left="6224" w:hanging="180"/>
      </w:pPr>
    </w:lvl>
  </w:abstractNum>
  <w:abstractNum w:abstractNumId="6" w15:restartNumberingAfterBreak="0">
    <w:nsid w:val="10750B32"/>
    <w:multiLevelType w:val="multilevel"/>
    <w:tmpl w:val="64DA61FA"/>
    <w:lvl w:ilvl="0">
      <w:start w:val="1"/>
      <w:numFmt w:val="decimal"/>
      <w:pStyle w:val="Nadpis1"/>
      <w:lvlText w:val="%1.0"/>
      <w:lvlJc w:val="left"/>
      <w:pPr>
        <w:tabs>
          <w:tab w:val="num" w:pos="2976"/>
        </w:tabs>
        <w:ind w:left="2976" w:hanging="1134"/>
      </w:pPr>
      <w:rPr>
        <w:rFonts w:hint="default"/>
      </w:rPr>
    </w:lvl>
    <w:lvl w:ilvl="1">
      <w:start w:val="1"/>
      <w:numFmt w:val="decimal"/>
      <w:pStyle w:val="Nadpis2"/>
      <w:lvlText w:val="%1.%2"/>
      <w:lvlJc w:val="left"/>
      <w:pPr>
        <w:tabs>
          <w:tab w:val="num" w:pos="2976"/>
        </w:tabs>
        <w:ind w:left="2976" w:hanging="1134"/>
      </w:pPr>
      <w:rPr>
        <w:rFonts w:hint="default"/>
      </w:rPr>
    </w:lvl>
    <w:lvl w:ilvl="2">
      <w:start w:val="1"/>
      <w:numFmt w:val="decimal"/>
      <w:pStyle w:val="Nadpis3"/>
      <w:lvlText w:val="%1.%2.%3"/>
      <w:lvlJc w:val="left"/>
      <w:pPr>
        <w:tabs>
          <w:tab w:val="num" w:pos="2976"/>
        </w:tabs>
        <w:ind w:left="2976" w:hanging="1134"/>
      </w:pPr>
      <w:rPr>
        <w:rFonts w:hint="default"/>
        <w:sz w:val="24"/>
        <w:szCs w:val="24"/>
      </w:rPr>
    </w:lvl>
    <w:lvl w:ilvl="3">
      <w:start w:val="1"/>
      <w:numFmt w:val="decimal"/>
      <w:pStyle w:val="Nadpis4"/>
      <w:lvlText w:val="%1.%2.%3.%4"/>
      <w:lvlJc w:val="left"/>
      <w:pPr>
        <w:tabs>
          <w:tab w:val="num" w:pos="1842"/>
        </w:tabs>
        <w:ind w:left="2976" w:hanging="1134"/>
      </w:pPr>
      <w:rPr>
        <w:rFonts w:hint="default"/>
        <w:b w:val="0"/>
        <w:i w:val="0"/>
        <w:sz w:val="24"/>
        <w:szCs w:val="24"/>
      </w:rPr>
    </w:lvl>
    <w:lvl w:ilvl="4">
      <w:start w:val="1"/>
      <w:numFmt w:val="none"/>
      <w:pStyle w:val="Nadpis5"/>
      <w:suff w:val="nothing"/>
      <w:lvlText w:val=""/>
      <w:lvlJc w:val="left"/>
      <w:pPr>
        <w:ind w:left="2239" w:firstLine="0"/>
      </w:pPr>
      <w:rPr>
        <w:rFonts w:hint="default"/>
      </w:rPr>
    </w:lvl>
    <w:lvl w:ilvl="5">
      <w:start w:val="1"/>
      <w:numFmt w:val="none"/>
      <w:pStyle w:val="Nadpis6"/>
      <w:suff w:val="nothing"/>
      <w:lvlText w:val=""/>
      <w:lvlJc w:val="left"/>
      <w:pPr>
        <w:ind w:left="2239" w:firstLine="0"/>
      </w:pPr>
      <w:rPr>
        <w:rFonts w:hint="default"/>
      </w:rPr>
    </w:lvl>
    <w:lvl w:ilvl="6">
      <w:start w:val="1"/>
      <w:numFmt w:val="none"/>
      <w:pStyle w:val="Nadpis7"/>
      <w:suff w:val="nothing"/>
      <w:lvlText w:val=""/>
      <w:lvlJc w:val="left"/>
      <w:pPr>
        <w:ind w:left="2239" w:firstLine="0"/>
      </w:pPr>
      <w:rPr>
        <w:rFonts w:hint="default"/>
      </w:rPr>
    </w:lvl>
    <w:lvl w:ilvl="7">
      <w:start w:val="1"/>
      <w:numFmt w:val="none"/>
      <w:pStyle w:val="Nadpis8"/>
      <w:suff w:val="nothing"/>
      <w:lvlText w:val=""/>
      <w:lvlJc w:val="left"/>
      <w:pPr>
        <w:ind w:left="2239" w:firstLine="0"/>
      </w:pPr>
      <w:rPr>
        <w:rFonts w:hint="default"/>
      </w:rPr>
    </w:lvl>
    <w:lvl w:ilvl="8">
      <w:start w:val="1"/>
      <w:numFmt w:val="none"/>
      <w:pStyle w:val="Nadpis9"/>
      <w:suff w:val="nothing"/>
      <w:lvlText w:val=""/>
      <w:lvlJc w:val="left"/>
      <w:pPr>
        <w:ind w:left="2239" w:firstLine="0"/>
      </w:pPr>
      <w:rPr>
        <w:rFonts w:hint="default"/>
      </w:rPr>
    </w:lvl>
  </w:abstractNum>
  <w:abstractNum w:abstractNumId="7" w15:restartNumberingAfterBreak="0">
    <w:nsid w:val="132B0F58"/>
    <w:multiLevelType w:val="hybridMultilevel"/>
    <w:tmpl w:val="1E388BF4"/>
    <w:lvl w:ilvl="0" w:tplc="CDB8ADE8">
      <w:start w:val="4"/>
      <w:numFmt w:val="bullet"/>
      <w:lvlText w:val="-"/>
      <w:lvlJc w:val="left"/>
      <w:pPr>
        <w:ind w:left="824" w:hanging="360"/>
      </w:pPr>
      <w:rPr>
        <w:rFonts w:ascii="Calibri" w:eastAsia="Times New Roman" w:hAnsi="Calibri" w:cs="Calibri" w:hint="default"/>
      </w:rPr>
    </w:lvl>
    <w:lvl w:ilvl="1" w:tplc="041B0003" w:tentative="1">
      <w:start w:val="1"/>
      <w:numFmt w:val="bullet"/>
      <w:lvlText w:val="o"/>
      <w:lvlJc w:val="left"/>
      <w:pPr>
        <w:ind w:left="1544" w:hanging="360"/>
      </w:pPr>
      <w:rPr>
        <w:rFonts w:ascii="Courier New" w:hAnsi="Courier New" w:cs="Courier New" w:hint="default"/>
      </w:rPr>
    </w:lvl>
    <w:lvl w:ilvl="2" w:tplc="041B0005" w:tentative="1">
      <w:start w:val="1"/>
      <w:numFmt w:val="bullet"/>
      <w:lvlText w:val=""/>
      <w:lvlJc w:val="left"/>
      <w:pPr>
        <w:ind w:left="2264" w:hanging="360"/>
      </w:pPr>
      <w:rPr>
        <w:rFonts w:ascii="Wingdings" w:hAnsi="Wingdings" w:hint="default"/>
      </w:rPr>
    </w:lvl>
    <w:lvl w:ilvl="3" w:tplc="041B0001" w:tentative="1">
      <w:start w:val="1"/>
      <w:numFmt w:val="bullet"/>
      <w:lvlText w:val=""/>
      <w:lvlJc w:val="left"/>
      <w:pPr>
        <w:ind w:left="2984" w:hanging="360"/>
      </w:pPr>
      <w:rPr>
        <w:rFonts w:ascii="Symbol" w:hAnsi="Symbol" w:hint="default"/>
      </w:rPr>
    </w:lvl>
    <w:lvl w:ilvl="4" w:tplc="041B0003" w:tentative="1">
      <w:start w:val="1"/>
      <w:numFmt w:val="bullet"/>
      <w:lvlText w:val="o"/>
      <w:lvlJc w:val="left"/>
      <w:pPr>
        <w:ind w:left="3704" w:hanging="360"/>
      </w:pPr>
      <w:rPr>
        <w:rFonts w:ascii="Courier New" w:hAnsi="Courier New" w:cs="Courier New" w:hint="default"/>
      </w:rPr>
    </w:lvl>
    <w:lvl w:ilvl="5" w:tplc="041B0005" w:tentative="1">
      <w:start w:val="1"/>
      <w:numFmt w:val="bullet"/>
      <w:lvlText w:val=""/>
      <w:lvlJc w:val="left"/>
      <w:pPr>
        <w:ind w:left="4424" w:hanging="360"/>
      </w:pPr>
      <w:rPr>
        <w:rFonts w:ascii="Wingdings" w:hAnsi="Wingdings" w:hint="default"/>
      </w:rPr>
    </w:lvl>
    <w:lvl w:ilvl="6" w:tplc="041B0001" w:tentative="1">
      <w:start w:val="1"/>
      <w:numFmt w:val="bullet"/>
      <w:lvlText w:val=""/>
      <w:lvlJc w:val="left"/>
      <w:pPr>
        <w:ind w:left="5144" w:hanging="360"/>
      </w:pPr>
      <w:rPr>
        <w:rFonts w:ascii="Symbol" w:hAnsi="Symbol" w:hint="default"/>
      </w:rPr>
    </w:lvl>
    <w:lvl w:ilvl="7" w:tplc="041B0003" w:tentative="1">
      <w:start w:val="1"/>
      <w:numFmt w:val="bullet"/>
      <w:lvlText w:val="o"/>
      <w:lvlJc w:val="left"/>
      <w:pPr>
        <w:ind w:left="5864" w:hanging="360"/>
      </w:pPr>
      <w:rPr>
        <w:rFonts w:ascii="Courier New" w:hAnsi="Courier New" w:cs="Courier New" w:hint="default"/>
      </w:rPr>
    </w:lvl>
    <w:lvl w:ilvl="8" w:tplc="041B0005" w:tentative="1">
      <w:start w:val="1"/>
      <w:numFmt w:val="bullet"/>
      <w:lvlText w:val=""/>
      <w:lvlJc w:val="left"/>
      <w:pPr>
        <w:ind w:left="6584" w:hanging="360"/>
      </w:pPr>
      <w:rPr>
        <w:rFonts w:ascii="Wingdings" w:hAnsi="Wingdings" w:hint="default"/>
      </w:rPr>
    </w:lvl>
  </w:abstractNum>
  <w:abstractNum w:abstractNumId="8" w15:restartNumberingAfterBreak="0">
    <w:nsid w:val="15C84230"/>
    <w:multiLevelType w:val="hybridMultilevel"/>
    <w:tmpl w:val="0C1E5EBC"/>
    <w:lvl w:ilvl="0" w:tplc="041B0003">
      <w:start w:val="1"/>
      <w:numFmt w:val="bullet"/>
      <w:lvlText w:val="o"/>
      <w:lvlJc w:val="left"/>
      <w:pPr>
        <w:ind w:left="824" w:hanging="360"/>
      </w:pPr>
      <w:rPr>
        <w:rFonts w:ascii="Courier New" w:hAnsi="Courier New" w:cs="Courier New" w:hint="default"/>
      </w:rPr>
    </w:lvl>
    <w:lvl w:ilvl="1" w:tplc="041B0003" w:tentative="1">
      <w:start w:val="1"/>
      <w:numFmt w:val="bullet"/>
      <w:lvlText w:val="o"/>
      <w:lvlJc w:val="left"/>
      <w:pPr>
        <w:ind w:left="1544" w:hanging="360"/>
      </w:pPr>
      <w:rPr>
        <w:rFonts w:ascii="Courier New" w:hAnsi="Courier New" w:cs="Courier New" w:hint="default"/>
      </w:rPr>
    </w:lvl>
    <w:lvl w:ilvl="2" w:tplc="041B0005" w:tentative="1">
      <w:start w:val="1"/>
      <w:numFmt w:val="bullet"/>
      <w:lvlText w:val=""/>
      <w:lvlJc w:val="left"/>
      <w:pPr>
        <w:ind w:left="2264" w:hanging="360"/>
      </w:pPr>
      <w:rPr>
        <w:rFonts w:ascii="Wingdings" w:hAnsi="Wingdings" w:hint="default"/>
      </w:rPr>
    </w:lvl>
    <w:lvl w:ilvl="3" w:tplc="041B0001" w:tentative="1">
      <w:start w:val="1"/>
      <w:numFmt w:val="bullet"/>
      <w:lvlText w:val=""/>
      <w:lvlJc w:val="left"/>
      <w:pPr>
        <w:ind w:left="2984" w:hanging="360"/>
      </w:pPr>
      <w:rPr>
        <w:rFonts w:ascii="Symbol" w:hAnsi="Symbol" w:hint="default"/>
      </w:rPr>
    </w:lvl>
    <w:lvl w:ilvl="4" w:tplc="041B0003" w:tentative="1">
      <w:start w:val="1"/>
      <w:numFmt w:val="bullet"/>
      <w:lvlText w:val="o"/>
      <w:lvlJc w:val="left"/>
      <w:pPr>
        <w:ind w:left="3704" w:hanging="360"/>
      </w:pPr>
      <w:rPr>
        <w:rFonts w:ascii="Courier New" w:hAnsi="Courier New" w:cs="Courier New" w:hint="default"/>
      </w:rPr>
    </w:lvl>
    <w:lvl w:ilvl="5" w:tplc="041B0005" w:tentative="1">
      <w:start w:val="1"/>
      <w:numFmt w:val="bullet"/>
      <w:lvlText w:val=""/>
      <w:lvlJc w:val="left"/>
      <w:pPr>
        <w:ind w:left="4424" w:hanging="360"/>
      </w:pPr>
      <w:rPr>
        <w:rFonts w:ascii="Wingdings" w:hAnsi="Wingdings" w:hint="default"/>
      </w:rPr>
    </w:lvl>
    <w:lvl w:ilvl="6" w:tplc="041B0001" w:tentative="1">
      <w:start w:val="1"/>
      <w:numFmt w:val="bullet"/>
      <w:lvlText w:val=""/>
      <w:lvlJc w:val="left"/>
      <w:pPr>
        <w:ind w:left="5144" w:hanging="360"/>
      </w:pPr>
      <w:rPr>
        <w:rFonts w:ascii="Symbol" w:hAnsi="Symbol" w:hint="default"/>
      </w:rPr>
    </w:lvl>
    <w:lvl w:ilvl="7" w:tplc="041B0003" w:tentative="1">
      <w:start w:val="1"/>
      <w:numFmt w:val="bullet"/>
      <w:lvlText w:val="o"/>
      <w:lvlJc w:val="left"/>
      <w:pPr>
        <w:ind w:left="5864" w:hanging="360"/>
      </w:pPr>
      <w:rPr>
        <w:rFonts w:ascii="Courier New" w:hAnsi="Courier New" w:cs="Courier New" w:hint="default"/>
      </w:rPr>
    </w:lvl>
    <w:lvl w:ilvl="8" w:tplc="041B0005" w:tentative="1">
      <w:start w:val="1"/>
      <w:numFmt w:val="bullet"/>
      <w:lvlText w:val=""/>
      <w:lvlJc w:val="left"/>
      <w:pPr>
        <w:ind w:left="6584" w:hanging="360"/>
      </w:pPr>
      <w:rPr>
        <w:rFonts w:ascii="Wingdings" w:hAnsi="Wingdings" w:hint="default"/>
      </w:rPr>
    </w:lvl>
  </w:abstractNum>
  <w:abstractNum w:abstractNumId="9" w15:restartNumberingAfterBreak="0">
    <w:nsid w:val="1A8F1197"/>
    <w:multiLevelType w:val="multilevel"/>
    <w:tmpl w:val="E922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F7781"/>
    <w:multiLevelType w:val="hybridMultilevel"/>
    <w:tmpl w:val="B950A5C0"/>
    <w:lvl w:ilvl="0" w:tplc="7F80D246">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E240FA3"/>
    <w:multiLevelType w:val="hybridMultilevel"/>
    <w:tmpl w:val="16284D7E"/>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15:restartNumberingAfterBreak="0">
    <w:nsid w:val="2383183D"/>
    <w:multiLevelType w:val="hybridMultilevel"/>
    <w:tmpl w:val="CF963856"/>
    <w:lvl w:ilvl="0" w:tplc="3B48B99A">
      <w:start w:val="1"/>
      <w:numFmt w:val="lowerRoman"/>
      <w:lvlText w:val="%1)"/>
      <w:lvlJc w:val="left"/>
      <w:pPr>
        <w:ind w:left="824" w:hanging="720"/>
      </w:pPr>
      <w:rPr>
        <w:rFonts w:hint="default"/>
      </w:rPr>
    </w:lvl>
    <w:lvl w:ilvl="1" w:tplc="041B0019" w:tentative="1">
      <w:start w:val="1"/>
      <w:numFmt w:val="lowerLetter"/>
      <w:lvlText w:val="%2."/>
      <w:lvlJc w:val="left"/>
      <w:pPr>
        <w:ind w:left="1184" w:hanging="360"/>
      </w:pPr>
    </w:lvl>
    <w:lvl w:ilvl="2" w:tplc="041B001B" w:tentative="1">
      <w:start w:val="1"/>
      <w:numFmt w:val="lowerRoman"/>
      <w:lvlText w:val="%3."/>
      <w:lvlJc w:val="right"/>
      <w:pPr>
        <w:ind w:left="1904" w:hanging="180"/>
      </w:pPr>
    </w:lvl>
    <w:lvl w:ilvl="3" w:tplc="041B000F" w:tentative="1">
      <w:start w:val="1"/>
      <w:numFmt w:val="decimal"/>
      <w:lvlText w:val="%4."/>
      <w:lvlJc w:val="left"/>
      <w:pPr>
        <w:ind w:left="2624" w:hanging="360"/>
      </w:pPr>
    </w:lvl>
    <w:lvl w:ilvl="4" w:tplc="041B0019" w:tentative="1">
      <w:start w:val="1"/>
      <w:numFmt w:val="lowerLetter"/>
      <w:lvlText w:val="%5."/>
      <w:lvlJc w:val="left"/>
      <w:pPr>
        <w:ind w:left="3344" w:hanging="360"/>
      </w:pPr>
    </w:lvl>
    <w:lvl w:ilvl="5" w:tplc="041B001B" w:tentative="1">
      <w:start w:val="1"/>
      <w:numFmt w:val="lowerRoman"/>
      <w:lvlText w:val="%6."/>
      <w:lvlJc w:val="right"/>
      <w:pPr>
        <w:ind w:left="4064" w:hanging="180"/>
      </w:pPr>
    </w:lvl>
    <w:lvl w:ilvl="6" w:tplc="041B000F" w:tentative="1">
      <w:start w:val="1"/>
      <w:numFmt w:val="decimal"/>
      <w:lvlText w:val="%7."/>
      <w:lvlJc w:val="left"/>
      <w:pPr>
        <w:ind w:left="4784" w:hanging="360"/>
      </w:pPr>
    </w:lvl>
    <w:lvl w:ilvl="7" w:tplc="041B0019" w:tentative="1">
      <w:start w:val="1"/>
      <w:numFmt w:val="lowerLetter"/>
      <w:lvlText w:val="%8."/>
      <w:lvlJc w:val="left"/>
      <w:pPr>
        <w:ind w:left="5504" w:hanging="360"/>
      </w:pPr>
    </w:lvl>
    <w:lvl w:ilvl="8" w:tplc="041B001B" w:tentative="1">
      <w:start w:val="1"/>
      <w:numFmt w:val="lowerRoman"/>
      <w:lvlText w:val="%9."/>
      <w:lvlJc w:val="right"/>
      <w:pPr>
        <w:ind w:left="6224" w:hanging="180"/>
      </w:pPr>
    </w:lvl>
  </w:abstractNum>
  <w:abstractNum w:abstractNumId="13" w15:restartNumberingAfterBreak="0">
    <w:nsid w:val="277310A4"/>
    <w:multiLevelType w:val="hybridMultilevel"/>
    <w:tmpl w:val="2D6AB1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9666429"/>
    <w:multiLevelType w:val="hybridMultilevel"/>
    <w:tmpl w:val="FB2C8CE4"/>
    <w:lvl w:ilvl="0" w:tplc="840C2F66">
      <w:start w:val="1"/>
      <w:numFmt w:val="bullet"/>
      <w:lvlText w:val=""/>
      <w:lvlJc w:val="left"/>
      <w:pPr>
        <w:ind w:left="360" w:hanging="360"/>
      </w:pPr>
      <w:rPr>
        <w:rFonts w:ascii="Symbol" w:hAnsi="Symbol" w:hint="default"/>
        <w:color w:val="003C64"/>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73201E"/>
    <w:multiLevelType w:val="hybridMultilevel"/>
    <w:tmpl w:val="8D241124"/>
    <w:lvl w:ilvl="0" w:tplc="7F80D246">
      <w:start w:val="1"/>
      <w:numFmt w:val="bullet"/>
      <w:lvlText w:val="-"/>
      <w:lvlJc w:val="left"/>
      <w:pPr>
        <w:ind w:left="464"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10004C8"/>
    <w:multiLevelType w:val="hybridMultilevel"/>
    <w:tmpl w:val="1C5EB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A0385E"/>
    <w:multiLevelType w:val="hybridMultilevel"/>
    <w:tmpl w:val="4F48E9C4"/>
    <w:lvl w:ilvl="0" w:tplc="7F80D246">
      <w:start w:val="1"/>
      <w:numFmt w:val="bullet"/>
      <w:lvlText w:val="-"/>
      <w:lvlJc w:val="left"/>
      <w:pPr>
        <w:ind w:left="464" w:hanging="360"/>
      </w:pPr>
      <w:rPr>
        <w:rFonts w:ascii="Calibri" w:eastAsia="Times New Roman" w:hAnsi="Calibri" w:cs="Calibri" w:hint="default"/>
      </w:rPr>
    </w:lvl>
    <w:lvl w:ilvl="1" w:tplc="041B0003">
      <w:start w:val="1"/>
      <w:numFmt w:val="bullet"/>
      <w:lvlText w:val="o"/>
      <w:lvlJc w:val="left"/>
      <w:pPr>
        <w:ind w:left="1184" w:hanging="360"/>
      </w:pPr>
      <w:rPr>
        <w:rFonts w:ascii="Courier New" w:hAnsi="Courier New" w:cs="Courier New" w:hint="default"/>
      </w:rPr>
    </w:lvl>
    <w:lvl w:ilvl="2" w:tplc="041B0005">
      <w:start w:val="1"/>
      <w:numFmt w:val="bullet"/>
      <w:lvlText w:val=""/>
      <w:lvlJc w:val="left"/>
      <w:pPr>
        <w:ind w:left="1904" w:hanging="360"/>
      </w:pPr>
      <w:rPr>
        <w:rFonts w:ascii="Wingdings" w:hAnsi="Wingdings" w:hint="default"/>
      </w:rPr>
    </w:lvl>
    <w:lvl w:ilvl="3" w:tplc="041B0001" w:tentative="1">
      <w:start w:val="1"/>
      <w:numFmt w:val="bullet"/>
      <w:lvlText w:val=""/>
      <w:lvlJc w:val="left"/>
      <w:pPr>
        <w:ind w:left="2624" w:hanging="360"/>
      </w:pPr>
      <w:rPr>
        <w:rFonts w:ascii="Symbol" w:hAnsi="Symbol" w:hint="default"/>
      </w:rPr>
    </w:lvl>
    <w:lvl w:ilvl="4" w:tplc="041B0003" w:tentative="1">
      <w:start w:val="1"/>
      <w:numFmt w:val="bullet"/>
      <w:lvlText w:val="o"/>
      <w:lvlJc w:val="left"/>
      <w:pPr>
        <w:ind w:left="3344" w:hanging="360"/>
      </w:pPr>
      <w:rPr>
        <w:rFonts w:ascii="Courier New" w:hAnsi="Courier New" w:cs="Courier New" w:hint="default"/>
      </w:rPr>
    </w:lvl>
    <w:lvl w:ilvl="5" w:tplc="041B0005" w:tentative="1">
      <w:start w:val="1"/>
      <w:numFmt w:val="bullet"/>
      <w:lvlText w:val=""/>
      <w:lvlJc w:val="left"/>
      <w:pPr>
        <w:ind w:left="4064" w:hanging="360"/>
      </w:pPr>
      <w:rPr>
        <w:rFonts w:ascii="Wingdings" w:hAnsi="Wingdings" w:hint="default"/>
      </w:rPr>
    </w:lvl>
    <w:lvl w:ilvl="6" w:tplc="041B0001" w:tentative="1">
      <w:start w:val="1"/>
      <w:numFmt w:val="bullet"/>
      <w:lvlText w:val=""/>
      <w:lvlJc w:val="left"/>
      <w:pPr>
        <w:ind w:left="4784" w:hanging="360"/>
      </w:pPr>
      <w:rPr>
        <w:rFonts w:ascii="Symbol" w:hAnsi="Symbol" w:hint="default"/>
      </w:rPr>
    </w:lvl>
    <w:lvl w:ilvl="7" w:tplc="041B0003" w:tentative="1">
      <w:start w:val="1"/>
      <w:numFmt w:val="bullet"/>
      <w:lvlText w:val="o"/>
      <w:lvlJc w:val="left"/>
      <w:pPr>
        <w:ind w:left="5504" w:hanging="360"/>
      </w:pPr>
      <w:rPr>
        <w:rFonts w:ascii="Courier New" w:hAnsi="Courier New" w:cs="Courier New" w:hint="default"/>
      </w:rPr>
    </w:lvl>
    <w:lvl w:ilvl="8" w:tplc="041B0005" w:tentative="1">
      <w:start w:val="1"/>
      <w:numFmt w:val="bullet"/>
      <w:lvlText w:val=""/>
      <w:lvlJc w:val="left"/>
      <w:pPr>
        <w:ind w:left="6224" w:hanging="360"/>
      </w:pPr>
      <w:rPr>
        <w:rFonts w:ascii="Wingdings" w:hAnsi="Wingdings" w:hint="default"/>
      </w:rPr>
    </w:lvl>
  </w:abstractNum>
  <w:abstractNum w:abstractNumId="18" w15:restartNumberingAfterBreak="0">
    <w:nsid w:val="348D5316"/>
    <w:multiLevelType w:val="hybridMultilevel"/>
    <w:tmpl w:val="A3BCFD30"/>
    <w:lvl w:ilvl="0" w:tplc="C0EA62EA">
      <w:start w:val="1"/>
      <w:numFmt w:val="bullet"/>
      <w:lvlText w:val=""/>
      <w:lvlJc w:val="left"/>
      <w:pPr>
        <w:ind w:left="360" w:hanging="360"/>
      </w:pPr>
      <w:rPr>
        <w:rFonts w:ascii="Symbol" w:hAnsi="Symbol" w:hint="default"/>
        <w:color w:val="003C6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47279B"/>
    <w:multiLevelType w:val="multilevel"/>
    <w:tmpl w:val="32E6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C61DB4"/>
    <w:multiLevelType w:val="hybridMultilevel"/>
    <w:tmpl w:val="5532BB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A285465"/>
    <w:multiLevelType w:val="hybridMultilevel"/>
    <w:tmpl w:val="200497FA"/>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2" w15:restartNumberingAfterBreak="0">
    <w:nsid w:val="3AE359EC"/>
    <w:multiLevelType w:val="hybridMultilevel"/>
    <w:tmpl w:val="AABA4ADC"/>
    <w:lvl w:ilvl="0" w:tplc="041B0003">
      <w:start w:val="1"/>
      <w:numFmt w:val="bullet"/>
      <w:lvlText w:val="o"/>
      <w:lvlJc w:val="left"/>
      <w:pPr>
        <w:ind w:left="824" w:hanging="360"/>
      </w:pPr>
      <w:rPr>
        <w:rFonts w:ascii="Courier New" w:hAnsi="Courier New" w:cs="Courier New" w:hint="default"/>
      </w:rPr>
    </w:lvl>
    <w:lvl w:ilvl="1" w:tplc="041B0003" w:tentative="1">
      <w:start w:val="1"/>
      <w:numFmt w:val="bullet"/>
      <w:lvlText w:val="o"/>
      <w:lvlJc w:val="left"/>
      <w:pPr>
        <w:ind w:left="1544" w:hanging="360"/>
      </w:pPr>
      <w:rPr>
        <w:rFonts w:ascii="Courier New" w:hAnsi="Courier New" w:cs="Courier New" w:hint="default"/>
      </w:rPr>
    </w:lvl>
    <w:lvl w:ilvl="2" w:tplc="041B0005" w:tentative="1">
      <w:start w:val="1"/>
      <w:numFmt w:val="bullet"/>
      <w:lvlText w:val=""/>
      <w:lvlJc w:val="left"/>
      <w:pPr>
        <w:ind w:left="2264" w:hanging="360"/>
      </w:pPr>
      <w:rPr>
        <w:rFonts w:ascii="Wingdings" w:hAnsi="Wingdings" w:hint="default"/>
      </w:rPr>
    </w:lvl>
    <w:lvl w:ilvl="3" w:tplc="041B0001" w:tentative="1">
      <w:start w:val="1"/>
      <w:numFmt w:val="bullet"/>
      <w:lvlText w:val=""/>
      <w:lvlJc w:val="left"/>
      <w:pPr>
        <w:ind w:left="2984" w:hanging="360"/>
      </w:pPr>
      <w:rPr>
        <w:rFonts w:ascii="Symbol" w:hAnsi="Symbol" w:hint="default"/>
      </w:rPr>
    </w:lvl>
    <w:lvl w:ilvl="4" w:tplc="041B0003" w:tentative="1">
      <w:start w:val="1"/>
      <w:numFmt w:val="bullet"/>
      <w:lvlText w:val="o"/>
      <w:lvlJc w:val="left"/>
      <w:pPr>
        <w:ind w:left="3704" w:hanging="360"/>
      </w:pPr>
      <w:rPr>
        <w:rFonts w:ascii="Courier New" w:hAnsi="Courier New" w:cs="Courier New" w:hint="default"/>
      </w:rPr>
    </w:lvl>
    <w:lvl w:ilvl="5" w:tplc="041B0005" w:tentative="1">
      <w:start w:val="1"/>
      <w:numFmt w:val="bullet"/>
      <w:lvlText w:val=""/>
      <w:lvlJc w:val="left"/>
      <w:pPr>
        <w:ind w:left="4424" w:hanging="360"/>
      </w:pPr>
      <w:rPr>
        <w:rFonts w:ascii="Wingdings" w:hAnsi="Wingdings" w:hint="default"/>
      </w:rPr>
    </w:lvl>
    <w:lvl w:ilvl="6" w:tplc="041B0001" w:tentative="1">
      <w:start w:val="1"/>
      <w:numFmt w:val="bullet"/>
      <w:lvlText w:val=""/>
      <w:lvlJc w:val="left"/>
      <w:pPr>
        <w:ind w:left="5144" w:hanging="360"/>
      </w:pPr>
      <w:rPr>
        <w:rFonts w:ascii="Symbol" w:hAnsi="Symbol" w:hint="default"/>
      </w:rPr>
    </w:lvl>
    <w:lvl w:ilvl="7" w:tplc="041B0003" w:tentative="1">
      <w:start w:val="1"/>
      <w:numFmt w:val="bullet"/>
      <w:lvlText w:val="o"/>
      <w:lvlJc w:val="left"/>
      <w:pPr>
        <w:ind w:left="5864" w:hanging="360"/>
      </w:pPr>
      <w:rPr>
        <w:rFonts w:ascii="Courier New" w:hAnsi="Courier New" w:cs="Courier New" w:hint="default"/>
      </w:rPr>
    </w:lvl>
    <w:lvl w:ilvl="8" w:tplc="041B0005" w:tentative="1">
      <w:start w:val="1"/>
      <w:numFmt w:val="bullet"/>
      <w:lvlText w:val=""/>
      <w:lvlJc w:val="left"/>
      <w:pPr>
        <w:ind w:left="6584" w:hanging="360"/>
      </w:pPr>
      <w:rPr>
        <w:rFonts w:ascii="Wingdings" w:hAnsi="Wingdings" w:hint="default"/>
      </w:rPr>
    </w:lvl>
  </w:abstractNum>
  <w:abstractNum w:abstractNumId="23" w15:restartNumberingAfterBreak="0">
    <w:nsid w:val="44581D84"/>
    <w:multiLevelType w:val="multilevel"/>
    <w:tmpl w:val="F1A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AC02DE"/>
    <w:multiLevelType w:val="hybridMultilevel"/>
    <w:tmpl w:val="5F442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7E32E2"/>
    <w:multiLevelType w:val="multilevel"/>
    <w:tmpl w:val="ACCEC788"/>
    <w:lvl w:ilvl="0">
      <w:start w:val="1"/>
      <w:numFmt w:val="bullet"/>
      <w:lvlText w:val="-"/>
      <w:lvlJc w:val="left"/>
      <w:pPr>
        <w:tabs>
          <w:tab w:val="num" w:pos="720"/>
        </w:tabs>
        <w:ind w:left="720" w:hanging="360"/>
      </w:pPr>
      <w:rPr>
        <w:rFonts w:ascii="Calibri" w:eastAsia="Times New Roman" w:hAnsi="Calibri" w:cs="Calibri"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91213"/>
    <w:multiLevelType w:val="hybridMultilevel"/>
    <w:tmpl w:val="385EC63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6920457C"/>
    <w:multiLevelType w:val="hybridMultilevel"/>
    <w:tmpl w:val="BED80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932C79"/>
    <w:multiLevelType w:val="hybridMultilevel"/>
    <w:tmpl w:val="0A3C10F0"/>
    <w:lvl w:ilvl="0" w:tplc="2324985A">
      <w:start w:val="1"/>
      <w:numFmt w:val="bullet"/>
      <w:lvlText w:val=""/>
      <w:lvlJc w:val="left"/>
      <w:pPr>
        <w:ind w:left="360" w:hanging="360"/>
      </w:pPr>
      <w:rPr>
        <w:rFonts w:ascii="Symbol" w:hAnsi="Symbol" w:hint="default"/>
        <w:color w:val="003C64"/>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F816E2"/>
    <w:multiLevelType w:val="multilevel"/>
    <w:tmpl w:val="2F4E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677549"/>
    <w:multiLevelType w:val="hybridMultilevel"/>
    <w:tmpl w:val="D96A434A"/>
    <w:lvl w:ilvl="0" w:tplc="C7F0D90A">
      <w:start w:val="1"/>
      <w:numFmt w:val="lowerLetter"/>
      <w:lvlText w:val="%1."/>
      <w:lvlJc w:val="left"/>
      <w:pPr>
        <w:ind w:left="464" w:hanging="360"/>
      </w:pPr>
      <w:rPr>
        <w:rFonts w:hint="default"/>
      </w:rPr>
    </w:lvl>
    <w:lvl w:ilvl="1" w:tplc="041B0019" w:tentative="1">
      <w:start w:val="1"/>
      <w:numFmt w:val="lowerLetter"/>
      <w:lvlText w:val="%2."/>
      <w:lvlJc w:val="left"/>
      <w:pPr>
        <w:ind w:left="1184" w:hanging="360"/>
      </w:pPr>
    </w:lvl>
    <w:lvl w:ilvl="2" w:tplc="041B001B" w:tentative="1">
      <w:start w:val="1"/>
      <w:numFmt w:val="lowerRoman"/>
      <w:lvlText w:val="%3."/>
      <w:lvlJc w:val="right"/>
      <w:pPr>
        <w:ind w:left="1904" w:hanging="180"/>
      </w:pPr>
    </w:lvl>
    <w:lvl w:ilvl="3" w:tplc="041B000F" w:tentative="1">
      <w:start w:val="1"/>
      <w:numFmt w:val="decimal"/>
      <w:lvlText w:val="%4."/>
      <w:lvlJc w:val="left"/>
      <w:pPr>
        <w:ind w:left="2624" w:hanging="360"/>
      </w:pPr>
    </w:lvl>
    <w:lvl w:ilvl="4" w:tplc="041B0019" w:tentative="1">
      <w:start w:val="1"/>
      <w:numFmt w:val="lowerLetter"/>
      <w:lvlText w:val="%5."/>
      <w:lvlJc w:val="left"/>
      <w:pPr>
        <w:ind w:left="3344" w:hanging="360"/>
      </w:pPr>
    </w:lvl>
    <w:lvl w:ilvl="5" w:tplc="041B001B" w:tentative="1">
      <w:start w:val="1"/>
      <w:numFmt w:val="lowerRoman"/>
      <w:lvlText w:val="%6."/>
      <w:lvlJc w:val="right"/>
      <w:pPr>
        <w:ind w:left="4064" w:hanging="180"/>
      </w:pPr>
    </w:lvl>
    <w:lvl w:ilvl="6" w:tplc="041B000F" w:tentative="1">
      <w:start w:val="1"/>
      <w:numFmt w:val="decimal"/>
      <w:lvlText w:val="%7."/>
      <w:lvlJc w:val="left"/>
      <w:pPr>
        <w:ind w:left="4784" w:hanging="360"/>
      </w:pPr>
    </w:lvl>
    <w:lvl w:ilvl="7" w:tplc="041B0019" w:tentative="1">
      <w:start w:val="1"/>
      <w:numFmt w:val="lowerLetter"/>
      <w:lvlText w:val="%8."/>
      <w:lvlJc w:val="left"/>
      <w:pPr>
        <w:ind w:left="5504" w:hanging="360"/>
      </w:pPr>
    </w:lvl>
    <w:lvl w:ilvl="8" w:tplc="041B001B" w:tentative="1">
      <w:start w:val="1"/>
      <w:numFmt w:val="lowerRoman"/>
      <w:lvlText w:val="%9."/>
      <w:lvlJc w:val="right"/>
      <w:pPr>
        <w:ind w:left="6224" w:hanging="180"/>
      </w:pPr>
    </w:lvl>
  </w:abstractNum>
  <w:abstractNum w:abstractNumId="31" w15:restartNumberingAfterBreak="0">
    <w:nsid w:val="7C231CED"/>
    <w:multiLevelType w:val="hybridMultilevel"/>
    <w:tmpl w:val="7FCC4756"/>
    <w:lvl w:ilvl="0" w:tplc="D61478F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14"/>
  </w:num>
  <w:num w:numId="4">
    <w:abstractNumId w:val="1"/>
  </w:num>
  <w:num w:numId="5">
    <w:abstractNumId w:val="6"/>
  </w:num>
  <w:num w:numId="6">
    <w:abstractNumId w:val="18"/>
  </w:num>
  <w:num w:numId="7">
    <w:abstractNumId w:val="16"/>
  </w:num>
  <w:num w:numId="8">
    <w:abstractNumId w:val="27"/>
  </w:num>
  <w:num w:numId="9">
    <w:abstractNumId w:val="0"/>
  </w:num>
  <w:num w:numId="10">
    <w:abstractNumId w:val="8"/>
  </w:num>
  <w:num w:numId="11">
    <w:abstractNumId w:val="22"/>
  </w:num>
  <w:num w:numId="12">
    <w:abstractNumId w:val="7"/>
  </w:num>
  <w:num w:numId="13">
    <w:abstractNumId w:val="23"/>
  </w:num>
  <w:num w:numId="14">
    <w:abstractNumId w:val="19"/>
  </w:num>
  <w:num w:numId="15">
    <w:abstractNumId w:val="9"/>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2"/>
  </w:num>
  <w:num w:numId="19">
    <w:abstractNumId w:val="17"/>
  </w:num>
  <w:num w:numId="20">
    <w:abstractNumId w:val="29"/>
  </w:num>
  <w:num w:numId="21">
    <w:abstractNumId w:val="30"/>
  </w:num>
  <w:num w:numId="22">
    <w:abstractNumId w:val="31"/>
  </w:num>
  <w:num w:numId="23">
    <w:abstractNumId w:val="20"/>
  </w:num>
  <w:num w:numId="24">
    <w:abstractNumId w:val="4"/>
  </w:num>
  <w:num w:numId="25">
    <w:abstractNumId w:val="2"/>
  </w:num>
  <w:num w:numId="26">
    <w:abstractNumId w:val="11"/>
  </w:num>
  <w:num w:numId="27">
    <w:abstractNumId w:val="21"/>
  </w:num>
  <w:num w:numId="28">
    <w:abstractNumId w:val="25"/>
  </w:num>
  <w:num w:numId="29">
    <w:abstractNumId w:val="10"/>
  </w:num>
  <w:num w:numId="30">
    <w:abstractNumId w:val="13"/>
  </w:num>
  <w:num w:numId="31">
    <w:abstractNumId w:val="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70FEA"/>
    <w:rsid w:val="00006901"/>
    <w:rsid w:val="000305AA"/>
    <w:rsid w:val="00034B65"/>
    <w:rsid w:val="00040B69"/>
    <w:rsid w:val="00042A16"/>
    <w:rsid w:val="00084398"/>
    <w:rsid w:val="000940A6"/>
    <w:rsid w:val="00095F04"/>
    <w:rsid w:val="000C63B5"/>
    <w:rsid w:val="000D1A2B"/>
    <w:rsid w:val="000E3EBA"/>
    <w:rsid w:val="000E70E8"/>
    <w:rsid w:val="000F2EFE"/>
    <w:rsid w:val="000F40EC"/>
    <w:rsid w:val="001616F6"/>
    <w:rsid w:val="00161FE9"/>
    <w:rsid w:val="001D5FCD"/>
    <w:rsid w:val="002218F4"/>
    <w:rsid w:val="00236ECB"/>
    <w:rsid w:val="0025522E"/>
    <w:rsid w:val="00267998"/>
    <w:rsid w:val="00292AD3"/>
    <w:rsid w:val="002E612A"/>
    <w:rsid w:val="002F0919"/>
    <w:rsid w:val="002F588B"/>
    <w:rsid w:val="00305768"/>
    <w:rsid w:val="00325A38"/>
    <w:rsid w:val="00342E93"/>
    <w:rsid w:val="0036265C"/>
    <w:rsid w:val="003B6155"/>
    <w:rsid w:val="003B7AE6"/>
    <w:rsid w:val="003E4783"/>
    <w:rsid w:val="004119A6"/>
    <w:rsid w:val="0041687F"/>
    <w:rsid w:val="00493ED2"/>
    <w:rsid w:val="004B378F"/>
    <w:rsid w:val="004C3A6C"/>
    <w:rsid w:val="004E4ACE"/>
    <w:rsid w:val="004F209F"/>
    <w:rsid w:val="00517FE7"/>
    <w:rsid w:val="005355BD"/>
    <w:rsid w:val="005455B0"/>
    <w:rsid w:val="00554053"/>
    <w:rsid w:val="00564DBA"/>
    <w:rsid w:val="00570FEA"/>
    <w:rsid w:val="00582E84"/>
    <w:rsid w:val="005930B6"/>
    <w:rsid w:val="005A18F7"/>
    <w:rsid w:val="005C0672"/>
    <w:rsid w:val="005E70DF"/>
    <w:rsid w:val="005F65B7"/>
    <w:rsid w:val="005F7FEA"/>
    <w:rsid w:val="006429DA"/>
    <w:rsid w:val="00655E25"/>
    <w:rsid w:val="00691883"/>
    <w:rsid w:val="006975DD"/>
    <w:rsid w:val="006C175F"/>
    <w:rsid w:val="007226A2"/>
    <w:rsid w:val="00763742"/>
    <w:rsid w:val="007D1283"/>
    <w:rsid w:val="00810A01"/>
    <w:rsid w:val="00826E90"/>
    <w:rsid w:val="00831D0C"/>
    <w:rsid w:val="00835642"/>
    <w:rsid w:val="0086749E"/>
    <w:rsid w:val="0092030B"/>
    <w:rsid w:val="00920AA1"/>
    <w:rsid w:val="009229D6"/>
    <w:rsid w:val="00925293"/>
    <w:rsid w:val="0092550F"/>
    <w:rsid w:val="00A029F9"/>
    <w:rsid w:val="00A344E8"/>
    <w:rsid w:val="00A8589E"/>
    <w:rsid w:val="00A942E5"/>
    <w:rsid w:val="00AC0526"/>
    <w:rsid w:val="00B06AF5"/>
    <w:rsid w:val="00B269D0"/>
    <w:rsid w:val="00B61043"/>
    <w:rsid w:val="00B735CA"/>
    <w:rsid w:val="00B90ED0"/>
    <w:rsid w:val="00B96011"/>
    <w:rsid w:val="00BA45D3"/>
    <w:rsid w:val="00C72FD2"/>
    <w:rsid w:val="00CB74D4"/>
    <w:rsid w:val="00CC21F4"/>
    <w:rsid w:val="00D21F09"/>
    <w:rsid w:val="00D55391"/>
    <w:rsid w:val="00D97FF5"/>
    <w:rsid w:val="00DA5BF0"/>
    <w:rsid w:val="00DC2515"/>
    <w:rsid w:val="00DD5AC3"/>
    <w:rsid w:val="00DF1E35"/>
    <w:rsid w:val="00E06D84"/>
    <w:rsid w:val="00E115D3"/>
    <w:rsid w:val="00E130E2"/>
    <w:rsid w:val="00EC2B52"/>
    <w:rsid w:val="00ED612F"/>
    <w:rsid w:val="00F13A0E"/>
    <w:rsid w:val="00F27388"/>
    <w:rsid w:val="00F46FD7"/>
    <w:rsid w:val="00F67639"/>
    <w:rsid w:val="00F87E80"/>
    <w:rsid w:val="00FF7B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41F3"/>
  <w15:docId w15:val="{29A90E2E-ED80-46AD-B7AB-AD5EF07D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0FEA"/>
    <w:pPr>
      <w:spacing w:after="0" w:line="288" w:lineRule="auto"/>
    </w:pPr>
    <w:rPr>
      <w:rFonts w:ascii="Arial" w:eastAsia="Times New Roman" w:hAnsi="Arial" w:cs="Times New Roman"/>
      <w:sz w:val="24"/>
      <w:szCs w:val="24"/>
      <w:lang w:val="en-GB" w:eastAsia="en-GB"/>
    </w:rPr>
  </w:style>
  <w:style w:type="paragraph" w:styleId="Nadpis1">
    <w:name w:val="heading 1"/>
    <w:basedOn w:val="Zkladntext"/>
    <w:next w:val="Zkladntext"/>
    <w:link w:val="Nadpis1Char"/>
    <w:qFormat/>
    <w:rsid w:val="003E4783"/>
    <w:pPr>
      <w:pageBreakBefore/>
      <w:numPr>
        <w:numId w:val="5"/>
      </w:numPr>
      <w:pBdr>
        <w:bottom w:val="single" w:sz="8" w:space="1" w:color="999999"/>
      </w:pBdr>
      <w:tabs>
        <w:tab w:val="left" w:pos="851"/>
      </w:tabs>
      <w:spacing w:after="360"/>
      <w:ind w:left="851" w:hanging="851"/>
      <w:outlineLvl w:val="0"/>
    </w:pPr>
    <w:rPr>
      <w:rFonts w:cs="Arial"/>
      <w:b/>
      <w:color w:val="003C64"/>
      <w:sz w:val="40"/>
      <w:szCs w:val="44"/>
    </w:rPr>
  </w:style>
  <w:style w:type="paragraph" w:styleId="Nadpis2">
    <w:name w:val="heading 2"/>
    <w:basedOn w:val="Nadpis1"/>
    <w:next w:val="Zkladntext"/>
    <w:link w:val="Nadpis2Char"/>
    <w:qFormat/>
    <w:rsid w:val="003E4783"/>
    <w:pPr>
      <w:keepNext/>
      <w:pageBreakBefore w:val="0"/>
      <w:numPr>
        <w:ilvl w:val="1"/>
      </w:numPr>
      <w:pBdr>
        <w:bottom w:val="none" w:sz="0" w:space="0" w:color="auto"/>
      </w:pBdr>
      <w:tabs>
        <w:tab w:val="clear" w:pos="851"/>
      </w:tabs>
      <w:spacing w:before="450" w:after="240"/>
      <w:ind w:left="567" w:hanging="567"/>
      <w:outlineLvl w:val="1"/>
    </w:pPr>
    <w:rPr>
      <w:sz w:val="24"/>
      <w:szCs w:val="24"/>
    </w:rPr>
  </w:style>
  <w:style w:type="paragraph" w:styleId="Nadpis3">
    <w:name w:val="heading 3"/>
    <w:basedOn w:val="Nadpis2"/>
    <w:next w:val="Zkladntext"/>
    <w:link w:val="Nadpis3Char"/>
    <w:qFormat/>
    <w:rsid w:val="003E4783"/>
    <w:pPr>
      <w:numPr>
        <w:ilvl w:val="2"/>
      </w:numPr>
      <w:spacing w:before="120" w:after="120"/>
      <w:ind w:left="826" w:hanging="826"/>
      <w:outlineLvl w:val="2"/>
    </w:pPr>
    <w:rPr>
      <w:b w:val="0"/>
      <w:szCs w:val="32"/>
    </w:rPr>
  </w:style>
  <w:style w:type="paragraph" w:styleId="Nadpis4">
    <w:name w:val="heading 4"/>
    <w:basedOn w:val="Nadpis3"/>
    <w:next w:val="Zkladntext"/>
    <w:link w:val="Nadpis4Char"/>
    <w:qFormat/>
    <w:rsid w:val="003E4783"/>
    <w:pPr>
      <w:numPr>
        <w:ilvl w:val="3"/>
      </w:numPr>
      <w:spacing w:after="0"/>
      <w:ind w:left="993" w:hanging="993"/>
      <w:outlineLvl w:val="3"/>
    </w:pPr>
    <w:rPr>
      <w:i/>
      <w:color w:val="000000"/>
    </w:rPr>
  </w:style>
  <w:style w:type="paragraph" w:styleId="Nadpis5">
    <w:name w:val="heading 5"/>
    <w:basedOn w:val="Normlny"/>
    <w:next w:val="Normlny"/>
    <w:link w:val="Nadpis5Char"/>
    <w:qFormat/>
    <w:rsid w:val="003E4783"/>
    <w:pPr>
      <w:numPr>
        <w:ilvl w:val="4"/>
        <w:numId w:val="5"/>
      </w:numPr>
      <w:spacing w:before="220"/>
      <w:outlineLvl w:val="4"/>
    </w:pPr>
    <w:rPr>
      <w:b/>
    </w:rPr>
  </w:style>
  <w:style w:type="paragraph" w:styleId="Nadpis6">
    <w:name w:val="heading 6"/>
    <w:basedOn w:val="Normlny"/>
    <w:next w:val="Normlny"/>
    <w:link w:val="Nadpis6Char"/>
    <w:qFormat/>
    <w:rsid w:val="003E4783"/>
    <w:pPr>
      <w:numPr>
        <w:ilvl w:val="5"/>
        <w:numId w:val="5"/>
      </w:numPr>
      <w:spacing w:before="240" w:after="60"/>
      <w:jc w:val="both"/>
      <w:outlineLvl w:val="5"/>
    </w:pPr>
    <w:rPr>
      <w:b/>
      <w:sz w:val="20"/>
      <w:lang w:eastAsia="en-US"/>
    </w:rPr>
  </w:style>
  <w:style w:type="paragraph" w:styleId="Nadpis7">
    <w:name w:val="heading 7"/>
    <w:basedOn w:val="Normlny"/>
    <w:next w:val="Normlny"/>
    <w:link w:val="Nadpis7Char"/>
    <w:qFormat/>
    <w:rsid w:val="003E4783"/>
    <w:pPr>
      <w:numPr>
        <w:ilvl w:val="6"/>
        <w:numId w:val="5"/>
      </w:numPr>
      <w:spacing w:before="240" w:after="60"/>
      <w:jc w:val="both"/>
      <w:outlineLvl w:val="6"/>
    </w:pPr>
    <w:rPr>
      <w:sz w:val="20"/>
      <w:lang w:eastAsia="en-US"/>
    </w:rPr>
  </w:style>
  <w:style w:type="paragraph" w:styleId="Nadpis8">
    <w:name w:val="heading 8"/>
    <w:basedOn w:val="Normlny"/>
    <w:next w:val="Normlny"/>
    <w:link w:val="Nadpis8Char"/>
    <w:qFormat/>
    <w:rsid w:val="003E4783"/>
    <w:pPr>
      <w:numPr>
        <w:ilvl w:val="7"/>
        <w:numId w:val="5"/>
      </w:numPr>
      <w:spacing w:before="240" w:after="60"/>
      <w:jc w:val="both"/>
      <w:outlineLvl w:val="7"/>
    </w:pPr>
    <w:rPr>
      <w:i/>
      <w:iCs/>
      <w:sz w:val="20"/>
      <w:lang w:eastAsia="en-US"/>
    </w:rPr>
  </w:style>
  <w:style w:type="paragraph" w:styleId="Nadpis9">
    <w:name w:val="heading 9"/>
    <w:basedOn w:val="Normlny"/>
    <w:next w:val="Normlny"/>
    <w:link w:val="Nadpis9Char"/>
    <w:qFormat/>
    <w:rsid w:val="003E4783"/>
    <w:pPr>
      <w:numPr>
        <w:ilvl w:val="8"/>
        <w:numId w:val="5"/>
      </w:numPr>
      <w:spacing w:before="240" w:after="60"/>
      <w:jc w:val="both"/>
      <w:outlineLvl w:val="8"/>
    </w:pPr>
    <w:rPr>
      <w:rFonts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570FEA"/>
    <w:pPr>
      <w:spacing w:after="240"/>
      <w:jc w:val="both"/>
    </w:pPr>
    <w:rPr>
      <w:sz w:val="20"/>
    </w:rPr>
  </w:style>
  <w:style w:type="character" w:customStyle="1" w:styleId="ZkladntextChar">
    <w:name w:val="Základný text Char"/>
    <w:basedOn w:val="Predvolenpsmoodseku"/>
    <w:link w:val="Zkladntext"/>
    <w:rsid w:val="00570FEA"/>
    <w:rPr>
      <w:rFonts w:ascii="Arial" w:eastAsia="Times New Roman" w:hAnsi="Arial" w:cs="Times New Roman"/>
      <w:sz w:val="20"/>
      <w:szCs w:val="24"/>
      <w:lang w:val="en-GB" w:eastAsia="en-GB"/>
    </w:rPr>
  </w:style>
  <w:style w:type="character" w:styleId="Hypertextovprepojenie">
    <w:name w:val="Hyperlink"/>
    <w:basedOn w:val="Predvolenpsmoodseku"/>
    <w:uiPriority w:val="99"/>
    <w:rsid w:val="00570FEA"/>
    <w:rPr>
      <w:color w:val="0000FF"/>
      <w:u w:val="single"/>
    </w:rPr>
  </w:style>
  <w:style w:type="paragraph" w:styleId="Textpoznmkypodiarou">
    <w:name w:val="footnote text"/>
    <w:basedOn w:val="Normlny"/>
    <w:link w:val="TextpoznmkypodiarouChar"/>
    <w:uiPriority w:val="99"/>
    <w:rsid w:val="00570FEA"/>
    <w:pPr>
      <w:ind w:left="1134"/>
    </w:pPr>
    <w:rPr>
      <w:sz w:val="18"/>
      <w:szCs w:val="20"/>
    </w:rPr>
  </w:style>
  <w:style w:type="character" w:customStyle="1" w:styleId="TextpoznmkypodiarouChar">
    <w:name w:val="Text poznámky pod čiarou Char"/>
    <w:basedOn w:val="Predvolenpsmoodseku"/>
    <w:link w:val="Textpoznmkypodiarou"/>
    <w:uiPriority w:val="99"/>
    <w:rsid w:val="00570FEA"/>
    <w:rPr>
      <w:rFonts w:ascii="Arial" w:eastAsia="Times New Roman" w:hAnsi="Arial" w:cs="Times New Roman"/>
      <w:sz w:val="18"/>
      <w:szCs w:val="20"/>
      <w:lang w:val="en-GB" w:eastAsia="en-GB"/>
    </w:rPr>
  </w:style>
  <w:style w:type="character" w:styleId="Odkaznapoznmkupodiarou">
    <w:name w:val="footnote reference"/>
    <w:basedOn w:val="Predvolenpsmoodseku"/>
    <w:uiPriority w:val="99"/>
    <w:rsid w:val="00570FEA"/>
    <w:rPr>
      <w:vertAlign w:val="superscript"/>
    </w:rPr>
  </w:style>
  <w:style w:type="character" w:styleId="Odkaznakomentr">
    <w:name w:val="annotation reference"/>
    <w:basedOn w:val="Predvolenpsmoodseku"/>
    <w:uiPriority w:val="99"/>
    <w:semiHidden/>
    <w:rsid w:val="00570FEA"/>
    <w:rPr>
      <w:sz w:val="16"/>
      <w:szCs w:val="16"/>
    </w:rPr>
  </w:style>
  <w:style w:type="paragraph" w:styleId="Textkomentra">
    <w:name w:val="annotation text"/>
    <w:basedOn w:val="Normlny"/>
    <w:link w:val="TextkomentraChar"/>
    <w:uiPriority w:val="99"/>
    <w:semiHidden/>
    <w:rsid w:val="00570FEA"/>
    <w:rPr>
      <w:sz w:val="20"/>
      <w:szCs w:val="20"/>
    </w:rPr>
  </w:style>
  <w:style w:type="character" w:customStyle="1" w:styleId="TextkomentraChar">
    <w:name w:val="Text komentára Char"/>
    <w:basedOn w:val="Predvolenpsmoodseku"/>
    <w:link w:val="Textkomentra"/>
    <w:uiPriority w:val="99"/>
    <w:semiHidden/>
    <w:rsid w:val="00570FEA"/>
    <w:rPr>
      <w:rFonts w:ascii="Arial" w:eastAsia="Times New Roman" w:hAnsi="Arial" w:cs="Times New Roman"/>
      <w:sz w:val="20"/>
      <w:szCs w:val="20"/>
      <w:lang w:val="en-GB" w:eastAsia="en-GB"/>
    </w:rPr>
  </w:style>
  <w:style w:type="table" w:customStyle="1" w:styleId="4">
    <w:name w:val="4"/>
    <w:basedOn w:val="Normlnatabuka"/>
    <w:rsid w:val="00570FEA"/>
    <w:pPr>
      <w:spacing w:after="0" w:line="288" w:lineRule="auto"/>
    </w:pPr>
    <w:rPr>
      <w:rFonts w:ascii="Arial" w:eastAsia="Arial" w:hAnsi="Arial" w:cs="Arial"/>
      <w:color w:val="000000"/>
      <w:sz w:val="24"/>
      <w:szCs w:val="24"/>
      <w:lang w:eastAsia="sk-SK"/>
    </w:rPr>
    <w:tblPr>
      <w:tblStyleRowBandSize w:val="1"/>
      <w:tblStyleColBandSize w:val="1"/>
      <w:tblCellMar>
        <w:left w:w="0" w:type="dxa"/>
        <w:right w:w="0" w:type="dxa"/>
      </w:tblCellMar>
    </w:tblPr>
  </w:style>
  <w:style w:type="paragraph" w:styleId="Odsekzoznamu">
    <w:name w:val="List Paragraph"/>
    <w:basedOn w:val="Normlny"/>
    <w:uiPriority w:val="34"/>
    <w:qFormat/>
    <w:rsid w:val="00570FEA"/>
    <w:pPr>
      <w:ind w:left="720"/>
      <w:contextualSpacing/>
    </w:pPr>
    <w:rPr>
      <w:rFonts w:eastAsia="Arial" w:cs="Arial"/>
      <w:color w:val="000000"/>
      <w:lang w:val="sk-SK" w:eastAsia="sk-SK"/>
    </w:rPr>
  </w:style>
  <w:style w:type="paragraph" w:customStyle="1" w:styleId="RegisteredOffice">
    <w:name w:val="RegisteredOffice"/>
    <w:basedOn w:val="Zkladntext"/>
    <w:rsid w:val="00042A16"/>
    <w:pPr>
      <w:spacing w:line="240" w:lineRule="auto"/>
    </w:pPr>
    <w:rPr>
      <w:color w:val="FFFFFF"/>
      <w:sz w:val="14"/>
    </w:rPr>
  </w:style>
  <w:style w:type="paragraph" w:styleId="Zoznamsodrkami">
    <w:name w:val="List Bullet"/>
    <w:basedOn w:val="Zkladntext"/>
    <w:rsid w:val="00042A16"/>
    <w:pPr>
      <w:numPr>
        <w:numId w:val="4"/>
      </w:numPr>
      <w:tabs>
        <w:tab w:val="clear" w:pos="1418"/>
      </w:tabs>
      <w:spacing w:after="0"/>
      <w:ind w:left="284"/>
    </w:pPr>
  </w:style>
  <w:style w:type="character" w:customStyle="1" w:styleId="Nadpis1Char">
    <w:name w:val="Nadpis 1 Char"/>
    <w:basedOn w:val="Predvolenpsmoodseku"/>
    <w:link w:val="Nadpis1"/>
    <w:rsid w:val="003E4783"/>
    <w:rPr>
      <w:rFonts w:ascii="Arial" w:eastAsia="Times New Roman" w:hAnsi="Arial" w:cs="Arial"/>
      <w:b/>
      <w:color w:val="003C64"/>
      <w:sz w:val="40"/>
      <w:szCs w:val="44"/>
      <w:lang w:val="en-GB" w:eastAsia="en-GB"/>
    </w:rPr>
  </w:style>
  <w:style w:type="character" w:customStyle="1" w:styleId="Nadpis2Char">
    <w:name w:val="Nadpis 2 Char"/>
    <w:basedOn w:val="Predvolenpsmoodseku"/>
    <w:link w:val="Nadpis2"/>
    <w:rsid w:val="003E4783"/>
    <w:rPr>
      <w:rFonts w:ascii="Arial" w:eastAsia="Times New Roman" w:hAnsi="Arial" w:cs="Arial"/>
      <w:b/>
      <w:color w:val="003C64"/>
      <w:sz w:val="24"/>
      <w:szCs w:val="24"/>
      <w:lang w:val="en-GB" w:eastAsia="en-GB"/>
    </w:rPr>
  </w:style>
  <w:style w:type="character" w:customStyle="1" w:styleId="Nadpis3Char">
    <w:name w:val="Nadpis 3 Char"/>
    <w:basedOn w:val="Predvolenpsmoodseku"/>
    <w:link w:val="Nadpis3"/>
    <w:uiPriority w:val="9"/>
    <w:rsid w:val="003E4783"/>
    <w:rPr>
      <w:rFonts w:ascii="Arial" w:eastAsia="Times New Roman" w:hAnsi="Arial" w:cs="Arial"/>
      <w:color w:val="003C64"/>
      <w:sz w:val="24"/>
      <w:szCs w:val="32"/>
      <w:lang w:val="en-GB" w:eastAsia="en-GB"/>
    </w:rPr>
  </w:style>
  <w:style w:type="character" w:customStyle="1" w:styleId="Nadpis4Char">
    <w:name w:val="Nadpis 4 Char"/>
    <w:basedOn w:val="Predvolenpsmoodseku"/>
    <w:link w:val="Nadpis4"/>
    <w:rsid w:val="003E4783"/>
    <w:rPr>
      <w:rFonts w:ascii="Arial" w:eastAsia="Times New Roman" w:hAnsi="Arial" w:cs="Arial"/>
      <w:i/>
      <w:color w:val="000000"/>
      <w:sz w:val="24"/>
      <w:szCs w:val="32"/>
      <w:lang w:val="en-GB" w:eastAsia="en-GB"/>
    </w:rPr>
  </w:style>
  <w:style w:type="character" w:customStyle="1" w:styleId="Nadpis5Char">
    <w:name w:val="Nadpis 5 Char"/>
    <w:basedOn w:val="Predvolenpsmoodseku"/>
    <w:link w:val="Nadpis5"/>
    <w:rsid w:val="003E4783"/>
    <w:rPr>
      <w:rFonts w:ascii="Arial" w:eastAsia="Times New Roman" w:hAnsi="Arial" w:cs="Times New Roman"/>
      <w:b/>
      <w:sz w:val="24"/>
      <w:szCs w:val="24"/>
      <w:lang w:val="en-GB" w:eastAsia="en-GB"/>
    </w:rPr>
  </w:style>
  <w:style w:type="character" w:customStyle="1" w:styleId="Nadpis6Char">
    <w:name w:val="Nadpis 6 Char"/>
    <w:basedOn w:val="Predvolenpsmoodseku"/>
    <w:link w:val="Nadpis6"/>
    <w:rsid w:val="003E4783"/>
    <w:rPr>
      <w:rFonts w:ascii="Arial" w:eastAsia="Times New Roman" w:hAnsi="Arial" w:cs="Times New Roman"/>
      <w:b/>
      <w:sz w:val="20"/>
      <w:szCs w:val="24"/>
      <w:lang w:val="en-GB"/>
    </w:rPr>
  </w:style>
  <w:style w:type="character" w:customStyle="1" w:styleId="Nadpis7Char">
    <w:name w:val="Nadpis 7 Char"/>
    <w:basedOn w:val="Predvolenpsmoodseku"/>
    <w:link w:val="Nadpis7"/>
    <w:rsid w:val="003E4783"/>
    <w:rPr>
      <w:rFonts w:ascii="Arial" w:eastAsia="Times New Roman" w:hAnsi="Arial" w:cs="Times New Roman"/>
      <w:sz w:val="20"/>
      <w:szCs w:val="24"/>
      <w:lang w:val="en-GB"/>
    </w:rPr>
  </w:style>
  <w:style w:type="character" w:customStyle="1" w:styleId="Nadpis8Char">
    <w:name w:val="Nadpis 8 Char"/>
    <w:basedOn w:val="Predvolenpsmoodseku"/>
    <w:link w:val="Nadpis8"/>
    <w:rsid w:val="003E4783"/>
    <w:rPr>
      <w:rFonts w:ascii="Arial" w:eastAsia="Times New Roman" w:hAnsi="Arial" w:cs="Times New Roman"/>
      <w:i/>
      <w:iCs/>
      <w:sz w:val="20"/>
      <w:szCs w:val="24"/>
      <w:lang w:val="en-GB"/>
    </w:rPr>
  </w:style>
  <w:style w:type="character" w:customStyle="1" w:styleId="Nadpis9Char">
    <w:name w:val="Nadpis 9 Char"/>
    <w:basedOn w:val="Predvolenpsmoodseku"/>
    <w:link w:val="Nadpis9"/>
    <w:rsid w:val="003E4783"/>
    <w:rPr>
      <w:rFonts w:ascii="Arial" w:eastAsia="Times New Roman" w:hAnsi="Arial" w:cs="Arial"/>
      <w:lang w:val="en-GB"/>
    </w:rPr>
  </w:style>
  <w:style w:type="paragraph" w:styleId="Zoznamsodrkami2">
    <w:name w:val="List Bullet 2"/>
    <w:basedOn w:val="Zkladntext"/>
    <w:rsid w:val="003E4783"/>
    <w:pPr>
      <w:numPr>
        <w:numId w:val="9"/>
      </w:numPr>
      <w:tabs>
        <w:tab w:val="clear" w:pos="1701"/>
      </w:tabs>
      <w:spacing w:after="0"/>
      <w:ind w:left="568" w:hanging="284"/>
    </w:pPr>
  </w:style>
  <w:style w:type="paragraph" w:styleId="Normlnywebov">
    <w:name w:val="Normal (Web)"/>
    <w:basedOn w:val="Normlny"/>
    <w:uiPriority w:val="99"/>
    <w:semiHidden/>
    <w:unhideWhenUsed/>
    <w:rsid w:val="005F7FEA"/>
    <w:pPr>
      <w:spacing w:before="100" w:beforeAutospacing="1" w:after="100" w:afterAutospacing="1" w:line="240" w:lineRule="auto"/>
    </w:pPr>
    <w:rPr>
      <w:rFonts w:ascii="Times New Roman" w:hAnsi="Times New Roman"/>
      <w:lang w:val="sk-SK" w:eastAsia="sk-SK"/>
    </w:rPr>
  </w:style>
  <w:style w:type="paragraph" w:customStyle="1" w:styleId="astandard3520normal">
    <w:name w:val="a_standard__35__20_normal"/>
    <w:basedOn w:val="Normlny"/>
    <w:rsid w:val="006C175F"/>
    <w:pPr>
      <w:spacing w:before="100" w:beforeAutospacing="1" w:after="100" w:afterAutospacing="1" w:line="240" w:lineRule="auto"/>
    </w:pPr>
    <w:rPr>
      <w:rFonts w:ascii="Times New Roman" w:hAnsi="Times New Roman"/>
      <w:lang w:val="sk-SK" w:eastAsia="sk-SK"/>
    </w:rPr>
  </w:style>
  <w:style w:type="character" w:customStyle="1" w:styleId="at20">
    <w:name w:val="a__t20"/>
    <w:basedOn w:val="Predvolenpsmoodseku"/>
    <w:rsid w:val="006C175F"/>
  </w:style>
  <w:style w:type="character" w:customStyle="1" w:styleId="at12">
    <w:name w:val="a__t12"/>
    <w:basedOn w:val="Predvolenpsmoodseku"/>
    <w:rsid w:val="006C175F"/>
  </w:style>
  <w:style w:type="character" w:customStyle="1" w:styleId="at16">
    <w:name w:val="a__t16"/>
    <w:basedOn w:val="Predvolenpsmoodseku"/>
    <w:rsid w:val="006C175F"/>
  </w:style>
  <w:style w:type="character" w:customStyle="1" w:styleId="at5">
    <w:name w:val="a__t5"/>
    <w:basedOn w:val="Predvolenpsmoodseku"/>
    <w:rsid w:val="006C175F"/>
  </w:style>
  <w:style w:type="paragraph" w:customStyle="1" w:styleId="atiret201p31">
    <w:name w:val="a_tiret_20_1_p31"/>
    <w:basedOn w:val="Normlny"/>
    <w:rsid w:val="006C175F"/>
    <w:pPr>
      <w:spacing w:before="100" w:beforeAutospacing="1" w:after="100" w:afterAutospacing="1" w:line="240" w:lineRule="auto"/>
    </w:pPr>
    <w:rPr>
      <w:rFonts w:ascii="Times New Roman" w:hAnsi="Times New Roman"/>
      <w:lang w:val="sk-SK" w:eastAsia="sk-SK"/>
    </w:rPr>
  </w:style>
  <w:style w:type="character" w:customStyle="1" w:styleId="at4">
    <w:name w:val="a__t4"/>
    <w:basedOn w:val="Predvolenpsmoodseku"/>
    <w:rsid w:val="006C175F"/>
  </w:style>
  <w:style w:type="character" w:customStyle="1" w:styleId="at19">
    <w:name w:val="a__t19"/>
    <w:basedOn w:val="Predvolenpsmoodseku"/>
    <w:rsid w:val="006C175F"/>
  </w:style>
  <w:style w:type="character" w:customStyle="1" w:styleId="at15">
    <w:name w:val="a__t15"/>
    <w:basedOn w:val="Predvolenpsmoodseku"/>
    <w:rsid w:val="006C175F"/>
  </w:style>
  <w:style w:type="character" w:customStyle="1" w:styleId="at9">
    <w:name w:val="a__t9"/>
    <w:basedOn w:val="Predvolenpsmoodseku"/>
    <w:rsid w:val="006C175F"/>
  </w:style>
  <w:style w:type="character" w:styleId="Siln">
    <w:name w:val="Strong"/>
    <w:basedOn w:val="Predvolenpsmoodseku"/>
    <w:uiPriority w:val="22"/>
    <w:qFormat/>
    <w:rsid w:val="00A8589E"/>
    <w:rPr>
      <w:b/>
      <w:bCs/>
    </w:rPr>
  </w:style>
  <w:style w:type="character" w:styleId="PouitHypertextovPrepojenie">
    <w:name w:val="FollowedHyperlink"/>
    <w:basedOn w:val="Predvolenpsmoodseku"/>
    <w:uiPriority w:val="99"/>
    <w:semiHidden/>
    <w:unhideWhenUsed/>
    <w:rsid w:val="00A8589E"/>
    <w:rPr>
      <w:color w:val="954F72" w:themeColor="followedHyperlink"/>
      <w:u w:val="single"/>
    </w:rPr>
  </w:style>
  <w:style w:type="paragraph" w:styleId="Predmetkomentra">
    <w:name w:val="annotation subject"/>
    <w:basedOn w:val="Textkomentra"/>
    <w:next w:val="Textkomentra"/>
    <w:link w:val="PredmetkomentraChar"/>
    <w:uiPriority w:val="99"/>
    <w:semiHidden/>
    <w:unhideWhenUsed/>
    <w:rsid w:val="000E3EBA"/>
    <w:pPr>
      <w:spacing w:line="240" w:lineRule="auto"/>
    </w:pPr>
    <w:rPr>
      <w:b/>
      <w:bCs/>
    </w:rPr>
  </w:style>
  <w:style w:type="character" w:customStyle="1" w:styleId="PredmetkomentraChar">
    <w:name w:val="Predmet komentára Char"/>
    <w:basedOn w:val="TextkomentraChar"/>
    <w:link w:val="Predmetkomentra"/>
    <w:uiPriority w:val="99"/>
    <w:semiHidden/>
    <w:rsid w:val="000E3EBA"/>
    <w:rPr>
      <w:rFonts w:ascii="Arial" w:eastAsia="Times New Roman" w:hAnsi="Arial" w:cs="Times New Roman"/>
      <w:b/>
      <w:bCs/>
      <w:sz w:val="20"/>
      <w:szCs w:val="20"/>
      <w:lang w:val="en-GB" w:eastAsia="en-GB"/>
    </w:rPr>
  </w:style>
  <w:style w:type="paragraph" w:styleId="Revzia">
    <w:name w:val="Revision"/>
    <w:hidden/>
    <w:uiPriority w:val="99"/>
    <w:semiHidden/>
    <w:rsid w:val="000E3EBA"/>
    <w:pPr>
      <w:spacing w:after="0" w:line="240" w:lineRule="auto"/>
    </w:pPr>
    <w:rPr>
      <w:rFonts w:ascii="Arial" w:eastAsia="Times New Roman" w:hAnsi="Arial" w:cs="Times New Roman"/>
      <w:sz w:val="24"/>
      <w:szCs w:val="24"/>
      <w:lang w:val="en-GB" w:eastAsia="en-GB"/>
    </w:rPr>
  </w:style>
  <w:style w:type="paragraph" w:styleId="Textbubliny">
    <w:name w:val="Balloon Text"/>
    <w:basedOn w:val="Normlny"/>
    <w:link w:val="TextbublinyChar"/>
    <w:uiPriority w:val="99"/>
    <w:semiHidden/>
    <w:unhideWhenUsed/>
    <w:rsid w:val="000E3EBA"/>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E3EBA"/>
    <w:rPr>
      <w:rFonts w:ascii="Segoe UI" w:eastAsia="Times New Roman" w:hAnsi="Segoe UI" w:cs="Segoe UI"/>
      <w:sz w:val="18"/>
      <w:szCs w:val="18"/>
      <w:lang w:val="en-GB" w:eastAsia="en-GB"/>
    </w:rPr>
  </w:style>
  <w:style w:type="table" w:styleId="Mriekatabuky">
    <w:name w:val="Table Grid"/>
    <w:basedOn w:val="Normlnatabuka"/>
    <w:uiPriority w:val="39"/>
    <w:rsid w:val="00554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DC2515"/>
    <w:pPr>
      <w:keepNext/>
      <w:keepLines/>
      <w:pageBreakBefore w:val="0"/>
      <w:numPr>
        <w:numId w:val="0"/>
      </w:numPr>
      <w:pBdr>
        <w:bottom w:val="none" w:sz="0" w:space="0" w:color="auto"/>
      </w:pBdr>
      <w:tabs>
        <w:tab w:val="clear" w:pos="851"/>
      </w:tab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sk-SK" w:eastAsia="sk-SK"/>
    </w:rPr>
  </w:style>
  <w:style w:type="paragraph" w:styleId="Obsah1">
    <w:name w:val="toc 1"/>
    <w:basedOn w:val="Normlny"/>
    <w:next w:val="Normlny"/>
    <w:autoRedefine/>
    <w:uiPriority w:val="39"/>
    <w:unhideWhenUsed/>
    <w:rsid w:val="00DC2515"/>
    <w:pPr>
      <w:spacing w:after="100"/>
    </w:pPr>
  </w:style>
  <w:style w:type="paragraph" w:styleId="Obsah2">
    <w:name w:val="toc 2"/>
    <w:basedOn w:val="Normlny"/>
    <w:next w:val="Normlny"/>
    <w:autoRedefine/>
    <w:uiPriority w:val="39"/>
    <w:unhideWhenUsed/>
    <w:rsid w:val="00DC2515"/>
    <w:pPr>
      <w:spacing w:after="100"/>
      <w:ind w:left="240"/>
    </w:pPr>
  </w:style>
  <w:style w:type="paragraph" w:styleId="Obsah3">
    <w:name w:val="toc 3"/>
    <w:basedOn w:val="Normlny"/>
    <w:next w:val="Normlny"/>
    <w:autoRedefine/>
    <w:uiPriority w:val="39"/>
    <w:unhideWhenUsed/>
    <w:rsid w:val="00DC2515"/>
    <w:pPr>
      <w:spacing w:after="100"/>
      <w:ind w:left="480"/>
    </w:pPr>
  </w:style>
  <w:style w:type="paragraph" w:styleId="Hlavika">
    <w:name w:val="header"/>
    <w:basedOn w:val="Normlny"/>
    <w:link w:val="HlavikaChar"/>
    <w:uiPriority w:val="99"/>
    <w:unhideWhenUsed/>
    <w:rsid w:val="00D55391"/>
    <w:pPr>
      <w:tabs>
        <w:tab w:val="center" w:pos="4680"/>
        <w:tab w:val="right" w:pos="9360"/>
      </w:tabs>
      <w:spacing w:line="240" w:lineRule="auto"/>
    </w:pPr>
  </w:style>
  <w:style w:type="character" w:customStyle="1" w:styleId="HlavikaChar">
    <w:name w:val="Hlavička Char"/>
    <w:basedOn w:val="Predvolenpsmoodseku"/>
    <w:link w:val="Hlavika"/>
    <w:uiPriority w:val="99"/>
    <w:rsid w:val="00D55391"/>
    <w:rPr>
      <w:rFonts w:ascii="Arial" w:eastAsia="Times New Roman" w:hAnsi="Arial" w:cs="Times New Roman"/>
      <w:sz w:val="24"/>
      <w:szCs w:val="24"/>
      <w:lang w:val="en-GB" w:eastAsia="en-GB"/>
    </w:rPr>
  </w:style>
  <w:style w:type="paragraph" w:styleId="Pta">
    <w:name w:val="footer"/>
    <w:basedOn w:val="Normlny"/>
    <w:link w:val="PtaChar"/>
    <w:uiPriority w:val="99"/>
    <w:unhideWhenUsed/>
    <w:rsid w:val="00D55391"/>
    <w:pPr>
      <w:tabs>
        <w:tab w:val="center" w:pos="4680"/>
        <w:tab w:val="right" w:pos="9360"/>
      </w:tabs>
      <w:spacing w:line="240" w:lineRule="auto"/>
    </w:pPr>
  </w:style>
  <w:style w:type="character" w:customStyle="1" w:styleId="PtaChar">
    <w:name w:val="Päta Char"/>
    <w:basedOn w:val="Predvolenpsmoodseku"/>
    <w:link w:val="Pta"/>
    <w:uiPriority w:val="99"/>
    <w:rsid w:val="00D55391"/>
    <w:rPr>
      <w:rFonts w:ascii="Arial" w:eastAsia="Times New Roman" w:hAnsi="Arial"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052">
      <w:bodyDiv w:val="1"/>
      <w:marLeft w:val="0"/>
      <w:marRight w:val="0"/>
      <w:marTop w:val="0"/>
      <w:marBottom w:val="0"/>
      <w:divBdr>
        <w:top w:val="none" w:sz="0" w:space="0" w:color="auto"/>
        <w:left w:val="none" w:sz="0" w:space="0" w:color="auto"/>
        <w:bottom w:val="none" w:sz="0" w:space="0" w:color="auto"/>
        <w:right w:val="none" w:sz="0" w:space="0" w:color="auto"/>
      </w:divBdr>
    </w:div>
    <w:div w:id="411633030">
      <w:bodyDiv w:val="1"/>
      <w:marLeft w:val="0"/>
      <w:marRight w:val="0"/>
      <w:marTop w:val="0"/>
      <w:marBottom w:val="0"/>
      <w:divBdr>
        <w:top w:val="none" w:sz="0" w:space="0" w:color="auto"/>
        <w:left w:val="none" w:sz="0" w:space="0" w:color="auto"/>
        <w:bottom w:val="none" w:sz="0" w:space="0" w:color="auto"/>
        <w:right w:val="none" w:sz="0" w:space="0" w:color="auto"/>
      </w:divBdr>
    </w:div>
    <w:div w:id="653535366">
      <w:bodyDiv w:val="1"/>
      <w:marLeft w:val="0"/>
      <w:marRight w:val="0"/>
      <w:marTop w:val="0"/>
      <w:marBottom w:val="0"/>
      <w:divBdr>
        <w:top w:val="none" w:sz="0" w:space="0" w:color="auto"/>
        <w:left w:val="none" w:sz="0" w:space="0" w:color="auto"/>
        <w:bottom w:val="none" w:sz="0" w:space="0" w:color="auto"/>
        <w:right w:val="none" w:sz="0" w:space="0" w:color="auto"/>
      </w:divBdr>
    </w:div>
    <w:div w:id="1316101699">
      <w:bodyDiv w:val="1"/>
      <w:marLeft w:val="0"/>
      <w:marRight w:val="0"/>
      <w:marTop w:val="0"/>
      <w:marBottom w:val="0"/>
      <w:divBdr>
        <w:top w:val="none" w:sz="0" w:space="0" w:color="auto"/>
        <w:left w:val="none" w:sz="0" w:space="0" w:color="auto"/>
        <w:bottom w:val="none" w:sz="0" w:space="0" w:color="auto"/>
        <w:right w:val="none" w:sz="0" w:space="0" w:color="auto"/>
      </w:divBdr>
      <w:divsChild>
        <w:div w:id="1609387767">
          <w:marLeft w:val="0"/>
          <w:marRight w:val="0"/>
          <w:marTop w:val="0"/>
          <w:marBottom w:val="0"/>
          <w:divBdr>
            <w:top w:val="none" w:sz="0" w:space="0" w:color="auto"/>
            <w:left w:val="none" w:sz="0" w:space="0" w:color="auto"/>
            <w:bottom w:val="none" w:sz="0" w:space="0" w:color="auto"/>
            <w:right w:val="none" w:sz="0" w:space="0" w:color="auto"/>
          </w:divBdr>
        </w:div>
        <w:div w:id="178351434">
          <w:marLeft w:val="0"/>
          <w:marRight w:val="0"/>
          <w:marTop w:val="0"/>
          <w:marBottom w:val="0"/>
          <w:divBdr>
            <w:top w:val="none" w:sz="0" w:space="0" w:color="auto"/>
            <w:left w:val="none" w:sz="0" w:space="0" w:color="auto"/>
            <w:bottom w:val="none" w:sz="0" w:space="0" w:color="auto"/>
            <w:right w:val="none" w:sz="0" w:space="0" w:color="auto"/>
          </w:divBdr>
        </w:div>
        <w:div w:id="622423923">
          <w:marLeft w:val="0"/>
          <w:marRight w:val="0"/>
          <w:marTop w:val="0"/>
          <w:marBottom w:val="0"/>
          <w:divBdr>
            <w:top w:val="none" w:sz="0" w:space="0" w:color="auto"/>
            <w:left w:val="none" w:sz="0" w:space="0" w:color="auto"/>
            <w:bottom w:val="none" w:sz="0" w:space="0" w:color="auto"/>
            <w:right w:val="none" w:sz="0" w:space="0" w:color="auto"/>
          </w:divBdr>
          <w:divsChild>
            <w:div w:id="1683432465">
              <w:marLeft w:val="0"/>
              <w:marRight w:val="0"/>
              <w:marTop w:val="0"/>
              <w:marBottom w:val="0"/>
              <w:divBdr>
                <w:top w:val="none" w:sz="0" w:space="0" w:color="auto"/>
                <w:left w:val="none" w:sz="0" w:space="0" w:color="auto"/>
                <w:bottom w:val="none" w:sz="0" w:space="0" w:color="auto"/>
                <w:right w:val="none" w:sz="0" w:space="0" w:color="auto"/>
              </w:divBdr>
            </w:div>
            <w:div w:id="856306863">
              <w:marLeft w:val="0"/>
              <w:marRight w:val="0"/>
              <w:marTop w:val="0"/>
              <w:marBottom w:val="0"/>
              <w:divBdr>
                <w:top w:val="none" w:sz="0" w:space="0" w:color="auto"/>
                <w:left w:val="none" w:sz="0" w:space="0" w:color="auto"/>
                <w:bottom w:val="none" w:sz="0" w:space="0" w:color="auto"/>
                <w:right w:val="none" w:sz="0" w:space="0" w:color="auto"/>
              </w:divBdr>
            </w:div>
            <w:div w:id="1280988534">
              <w:marLeft w:val="0"/>
              <w:marRight w:val="0"/>
              <w:marTop w:val="0"/>
              <w:marBottom w:val="0"/>
              <w:divBdr>
                <w:top w:val="none" w:sz="0" w:space="0" w:color="auto"/>
                <w:left w:val="none" w:sz="0" w:space="0" w:color="auto"/>
                <w:bottom w:val="none" w:sz="0" w:space="0" w:color="auto"/>
                <w:right w:val="none" w:sz="0" w:space="0" w:color="auto"/>
              </w:divBdr>
              <w:divsChild>
                <w:div w:id="672798336">
                  <w:marLeft w:val="0"/>
                  <w:marRight w:val="0"/>
                  <w:marTop w:val="0"/>
                  <w:marBottom w:val="0"/>
                  <w:divBdr>
                    <w:top w:val="none" w:sz="0" w:space="0" w:color="auto"/>
                    <w:left w:val="none" w:sz="0" w:space="0" w:color="auto"/>
                    <w:bottom w:val="none" w:sz="0" w:space="0" w:color="auto"/>
                    <w:right w:val="none" w:sz="0" w:space="0" w:color="auto"/>
                  </w:divBdr>
                </w:div>
                <w:div w:id="1083262222">
                  <w:marLeft w:val="0"/>
                  <w:marRight w:val="0"/>
                  <w:marTop w:val="0"/>
                  <w:marBottom w:val="0"/>
                  <w:divBdr>
                    <w:top w:val="none" w:sz="0" w:space="0" w:color="auto"/>
                    <w:left w:val="none" w:sz="0" w:space="0" w:color="auto"/>
                    <w:bottom w:val="none" w:sz="0" w:space="0" w:color="auto"/>
                    <w:right w:val="none" w:sz="0" w:space="0" w:color="auto"/>
                  </w:divBdr>
                </w:div>
              </w:divsChild>
            </w:div>
            <w:div w:id="619193321">
              <w:marLeft w:val="0"/>
              <w:marRight w:val="0"/>
              <w:marTop w:val="0"/>
              <w:marBottom w:val="0"/>
              <w:divBdr>
                <w:top w:val="none" w:sz="0" w:space="0" w:color="auto"/>
                <w:left w:val="none" w:sz="0" w:space="0" w:color="auto"/>
                <w:bottom w:val="none" w:sz="0" w:space="0" w:color="auto"/>
                <w:right w:val="none" w:sz="0" w:space="0" w:color="auto"/>
              </w:divBdr>
              <w:divsChild>
                <w:div w:id="1078867202">
                  <w:marLeft w:val="0"/>
                  <w:marRight w:val="0"/>
                  <w:marTop w:val="0"/>
                  <w:marBottom w:val="0"/>
                  <w:divBdr>
                    <w:top w:val="none" w:sz="0" w:space="0" w:color="auto"/>
                    <w:left w:val="none" w:sz="0" w:space="0" w:color="auto"/>
                    <w:bottom w:val="none" w:sz="0" w:space="0" w:color="auto"/>
                    <w:right w:val="none" w:sz="0" w:space="0" w:color="auto"/>
                  </w:divBdr>
                </w:div>
                <w:div w:id="7104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03943">
          <w:marLeft w:val="0"/>
          <w:marRight w:val="0"/>
          <w:marTop w:val="0"/>
          <w:marBottom w:val="0"/>
          <w:divBdr>
            <w:top w:val="none" w:sz="0" w:space="0" w:color="auto"/>
            <w:left w:val="none" w:sz="0" w:space="0" w:color="auto"/>
            <w:bottom w:val="none" w:sz="0" w:space="0" w:color="auto"/>
            <w:right w:val="none" w:sz="0" w:space="0" w:color="auto"/>
          </w:divBdr>
          <w:divsChild>
            <w:div w:id="760754804">
              <w:marLeft w:val="0"/>
              <w:marRight w:val="0"/>
              <w:marTop w:val="0"/>
              <w:marBottom w:val="0"/>
              <w:divBdr>
                <w:top w:val="none" w:sz="0" w:space="0" w:color="auto"/>
                <w:left w:val="none" w:sz="0" w:space="0" w:color="auto"/>
                <w:bottom w:val="none" w:sz="0" w:space="0" w:color="auto"/>
                <w:right w:val="none" w:sz="0" w:space="0" w:color="auto"/>
              </w:divBdr>
            </w:div>
            <w:div w:id="460150339">
              <w:marLeft w:val="0"/>
              <w:marRight w:val="0"/>
              <w:marTop w:val="0"/>
              <w:marBottom w:val="0"/>
              <w:divBdr>
                <w:top w:val="none" w:sz="0" w:space="0" w:color="auto"/>
                <w:left w:val="none" w:sz="0" w:space="0" w:color="auto"/>
                <w:bottom w:val="none" w:sz="0" w:space="0" w:color="auto"/>
                <w:right w:val="none" w:sz="0" w:space="0" w:color="auto"/>
              </w:divBdr>
            </w:div>
          </w:divsChild>
        </w:div>
        <w:div w:id="1848321455">
          <w:marLeft w:val="0"/>
          <w:marRight w:val="0"/>
          <w:marTop w:val="0"/>
          <w:marBottom w:val="0"/>
          <w:divBdr>
            <w:top w:val="none" w:sz="0" w:space="0" w:color="auto"/>
            <w:left w:val="none" w:sz="0" w:space="0" w:color="auto"/>
            <w:bottom w:val="none" w:sz="0" w:space="0" w:color="auto"/>
            <w:right w:val="none" w:sz="0" w:space="0" w:color="auto"/>
          </w:divBdr>
          <w:divsChild>
            <w:div w:id="671881705">
              <w:marLeft w:val="0"/>
              <w:marRight w:val="0"/>
              <w:marTop w:val="0"/>
              <w:marBottom w:val="0"/>
              <w:divBdr>
                <w:top w:val="none" w:sz="0" w:space="0" w:color="auto"/>
                <w:left w:val="none" w:sz="0" w:space="0" w:color="auto"/>
                <w:bottom w:val="none" w:sz="0" w:space="0" w:color="auto"/>
                <w:right w:val="none" w:sz="0" w:space="0" w:color="auto"/>
              </w:divBdr>
            </w:div>
            <w:div w:id="1507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6104">
      <w:bodyDiv w:val="1"/>
      <w:marLeft w:val="0"/>
      <w:marRight w:val="0"/>
      <w:marTop w:val="0"/>
      <w:marBottom w:val="0"/>
      <w:divBdr>
        <w:top w:val="none" w:sz="0" w:space="0" w:color="auto"/>
        <w:left w:val="none" w:sz="0" w:space="0" w:color="auto"/>
        <w:bottom w:val="none" w:sz="0" w:space="0" w:color="auto"/>
        <w:right w:val="none" w:sz="0" w:space="0" w:color="auto"/>
      </w:divBdr>
    </w:div>
    <w:div w:id="1518498206">
      <w:bodyDiv w:val="1"/>
      <w:marLeft w:val="0"/>
      <w:marRight w:val="0"/>
      <w:marTop w:val="0"/>
      <w:marBottom w:val="0"/>
      <w:divBdr>
        <w:top w:val="none" w:sz="0" w:space="0" w:color="auto"/>
        <w:left w:val="none" w:sz="0" w:space="0" w:color="auto"/>
        <w:bottom w:val="none" w:sz="0" w:space="0" w:color="auto"/>
        <w:right w:val="none" w:sz="0" w:space="0" w:color="auto"/>
      </w:divBdr>
    </w:div>
    <w:div w:id="1544753289">
      <w:bodyDiv w:val="1"/>
      <w:marLeft w:val="0"/>
      <w:marRight w:val="0"/>
      <w:marTop w:val="0"/>
      <w:marBottom w:val="0"/>
      <w:divBdr>
        <w:top w:val="none" w:sz="0" w:space="0" w:color="auto"/>
        <w:left w:val="none" w:sz="0" w:space="0" w:color="auto"/>
        <w:bottom w:val="none" w:sz="0" w:space="0" w:color="auto"/>
        <w:right w:val="none" w:sz="0" w:space="0" w:color="auto"/>
      </w:divBdr>
    </w:div>
    <w:div w:id="1615207076">
      <w:bodyDiv w:val="1"/>
      <w:marLeft w:val="0"/>
      <w:marRight w:val="0"/>
      <w:marTop w:val="0"/>
      <w:marBottom w:val="0"/>
      <w:divBdr>
        <w:top w:val="none" w:sz="0" w:space="0" w:color="auto"/>
        <w:left w:val="none" w:sz="0" w:space="0" w:color="auto"/>
        <w:bottom w:val="none" w:sz="0" w:space="0" w:color="auto"/>
        <w:right w:val="none" w:sz="0" w:space="0" w:color="auto"/>
      </w:divBdr>
    </w:div>
    <w:div w:id="199606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ivd.cz/soubor-doc739/" TargetMode="External"/><Relationship Id="rId18" Type="http://schemas.openxmlformats.org/officeDocument/2006/relationships/hyperlink" Target="https://www.riigiteataja.ee/en/eli/529062015007/consolide" TargetMode="External"/><Relationship Id="rId26" Type="http://schemas.openxmlformats.org/officeDocument/2006/relationships/hyperlink" Target="https://zakonodaja.sio.si/iskanje-2/?category=veljavno&amp;tag=temeljni-zakoni" TargetMode="External"/><Relationship Id="rId3" Type="http://schemas.openxmlformats.org/officeDocument/2006/relationships/styles" Target="styles.xml"/><Relationship Id="rId21" Type="http://schemas.openxmlformats.org/officeDocument/2006/relationships/hyperlink" Target="https://www.hm.ee/sites/default/files/uuringud/htm_tulemusvaldkondade_2017_aruanded.pdf" TargetMode="External"/><Relationship Id="rId34" Type="http://schemas.openxmlformats.org/officeDocument/2006/relationships/hyperlink" Target="http://www.svrk.gov.si/fileadmin/svrk.gov.si/pageuploads/Dokumenti_za_objavo_na_vstopni_strani/S4_document_2015_ENG.pdf" TargetMode="External"/><Relationship Id="rId7" Type="http://schemas.openxmlformats.org/officeDocument/2006/relationships/endnotes" Target="endnotes.xml"/><Relationship Id="rId12" Type="http://schemas.openxmlformats.org/officeDocument/2006/relationships/hyperlink" Target="https://publications.europa.eu/en/publication-detail/-/publication/024feeda-773e-4249-8808-158716e4296c" TargetMode="External"/><Relationship Id="rId17" Type="http://schemas.openxmlformats.org/officeDocument/2006/relationships/hyperlink" Target="http://uil.unesco.org/lifelong-learning/learning-cities" TargetMode="External"/><Relationship Id="rId25" Type="http://schemas.openxmlformats.org/officeDocument/2006/relationships/hyperlink" Target="https://www.hm.ee/sites/default/files/uuringud/htmannualanalyses2017summary_en.pdf" TargetMode="External"/><Relationship Id="rId33" Type="http://schemas.openxmlformats.org/officeDocument/2006/relationships/hyperlink" Target="http://www.pisrs.si/Pis.web/pregledPredpisa?id=RESO97" TargetMode="External"/><Relationship Id="rId2" Type="http://schemas.openxmlformats.org/officeDocument/2006/relationships/numbering" Target="numbering.xml"/><Relationship Id="rId16" Type="http://schemas.openxmlformats.org/officeDocument/2006/relationships/hyperlink" Target="http://uil.unesco.org/fileadmin/keydocuments/LifelongLearning/en/LLPSCollection.pdf" TargetMode="External"/><Relationship Id="rId20" Type="http://schemas.openxmlformats.org/officeDocument/2006/relationships/hyperlink" Target="https://www.hm.ee/sites/default/files/estonian_lifelong_strategy.pdf" TargetMode="External"/><Relationship Id="rId29" Type="http://schemas.openxmlformats.org/officeDocument/2006/relationships/hyperlink" Target="http://zakonodaja.sio.si/wp-content/uploads/sites/10/2011/08/OFEA_npb_17060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hm.ee/sites/default/files/moer_-_annual_analysis_2018_-_summary.pdf" TargetMode="External"/><Relationship Id="rId32" Type="http://schemas.openxmlformats.org/officeDocument/2006/relationships/hyperlink" Target="https://read.oecd-ilibrary.org/education/oecd-skills-strategy-diagnostic-report-slovenia-2017_9789264287709-e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il.unesco.org/lifelong-learning/lifelong-learning-policies" TargetMode="External"/><Relationship Id="rId23" Type="http://schemas.openxmlformats.org/officeDocument/2006/relationships/hyperlink" Target="http://oska.kutsekoda.ee/en/" TargetMode="External"/><Relationship Id="rId28" Type="http://schemas.openxmlformats.org/officeDocument/2006/relationships/hyperlink" Target="https://www.uradni-list.si/_pdf/2018/Ur/u2018006.pdf"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hm.ee/sites/default/files/development_plan_for_estonian_adult_education.pdf" TargetMode="External"/><Relationship Id="rId31" Type="http://schemas.openxmlformats.org/officeDocument/2006/relationships/hyperlink" Target="http://www.umar.gov.si/fileadmin/user_upload/publikacije/kratke_analize/Strategija_dolgozive_druzbe/UMAR_SDD_ang.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c.europa.eu/education/policy/adult-learning_en" TargetMode="External"/><Relationship Id="rId22" Type="http://schemas.openxmlformats.org/officeDocument/2006/relationships/hyperlink" Target="https://ec.europa.eu/education/resources-and-tools/document-library/education-and-training-monitor-2018-estonia-factsheet_en" TargetMode="External"/><Relationship Id="rId27" Type="http://schemas.openxmlformats.org/officeDocument/2006/relationships/hyperlink" Target="http://www.svz.gov.si/fileadmin/svz.gov.si/pageuploads/prevodi/List_of_Slovene_laws_and_regulations_in_English.pdf" TargetMode="External"/><Relationship Id="rId30" Type="http://schemas.openxmlformats.org/officeDocument/2006/relationships/hyperlink" Target="http://www.vlada.si/fileadmin/dokumenti/si/projekti/2017/srs2030/en/Slovenia_2030.pdf"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egionalproject.eu/pdf/CP_Slovakia_en.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B5131-D10B-4EF7-B838-3361E1A6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17</Pages>
  <Words>5528</Words>
  <Characters>31515</Characters>
  <Application>Microsoft Office Word</Application>
  <DocSecurity>0</DocSecurity>
  <Lines>262</Lines>
  <Paragraphs>73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Marta Jendeková</cp:lastModifiedBy>
  <cp:revision>12</cp:revision>
  <cp:lastPrinted>2019-06-18T10:49:00Z</cp:lastPrinted>
  <dcterms:created xsi:type="dcterms:W3CDTF">2019-05-28T10:03:00Z</dcterms:created>
  <dcterms:modified xsi:type="dcterms:W3CDTF">2020-09-20T14:50:00Z</dcterms:modified>
</cp:coreProperties>
</file>