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Séria voľne na seba nadväzujúcich workshopov (2014-2016), ktoré sa venovali rôznym aspektom predsedníctva v Rade EÚ. Workshopy sa konali s láskavou podporou Parlamentného inštitútu Kancelárie NR SR. Pracovným jazykom workshopov bola angličtina.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9. Supporting the EU Presidency: The role of the national delegate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26 May 2016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color w:val="1155cc"/>
          <w:u w:val="singl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Programme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8. Drafting EU Presidency Documents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8 October 2015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Programme: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Types of Documents to be covered during the Workshop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Drafting Documents: Some practical do´s and dont’s, Practical Exercise, Feedback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Luxembourg Presidency Priorities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Speakers: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i w:val="1"/>
          <w:rtl w:val="0"/>
        </w:rPr>
        <w:t xml:space="preserve">Peter Goldschmidt,</w:t>
      </w:r>
      <w:r w:rsidDel="00000000" w:rsidR="00000000" w:rsidRPr="00000000">
        <w:rPr>
          <w:rtl w:val="0"/>
        </w:rPr>
        <w:t xml:space="preserve"> Director for the European Institute for Public Administration’s antenna in Luxembourg – EIPA Luxembourg, Luxembourg Embassy representative (tbc.)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7. EU Decision-making in detail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15 June 2015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Programme: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Brief overview of the steps in the EU decision-making process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Preparation of Latvia for Presidency role - a complex process.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decision-making process in the Council in detail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Speakers: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i w:val="1"/>
          <w:rtl w:val="0"/>
        </w:rPr>
        <w:t xml:space="preserve">His Excellency Edgar Skuja,</w:t>
      </w:r>
      <w:r w:rsidDel="00000000" w:rsidR="00000000" w:rsidRPr="00000000">
        <w:rPr>
          <w:rtl w:val="0"/>
        </w:rPr>
        <w:t xml:space="preserve"> Ambassador of Latvia for Slovakia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i w:val="1"/>
          <w:rtl w:val="0"/>
        </w:rPr>
        <w:t xml:space="preserve">Linda Tomase,</w:t>
      </w:r>
      <w:r w:rsidDel="00000000" w:rsidR="00000000" w:rsidRPr="00000000">
        <w:rPr>
          <w:rtl w:val="0"/>
        </w:rPr>
        <w:t xml:space="preserve"> Training Coordinator, Ministry of Foreign Affairs of Latvia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i w:val="1"/>
          <w:rtl w:val="0"/>
        </w:rPr>
        <w:t xml:space="preserve">Zuzana Stefankova</w:t>
      </w:r>
      <w:r w:rsidDel="00000000" w:rsidR="00000000" w:rsidRPr="00000000">
        <w:rPr>
          <w:rtl w:val="0"/>
        </w:rPr>
        <w:t xml:space="preserve">, Ministry of Foreign and European Affairs/ Faculty of Law, Paneuropeans University (MA and PhD in Law at PF UK; LLM in EU Law from Rijksuniversiteit Groningen, the Netherlands)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6. Be better in drafting documents during the Slovak EU Presidency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16 April 2015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Programme: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Types of Documents to be Prepared during the Presidency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Drafting Documents: Some practical dos and dent’s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Presidency as Seen from another Member State (Case of the Netherlands)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Speakers: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i w:val="1"/>
          <w:rtl w:val="0"/>
        </w:rPr>
        <w:t xml:space="preserve">Peter Goldschmidt</w:t>
      </w:r>
      <w:r w:rsidDel="00000000" w:rsidR="00000000" w:rsidRPr="00000000">
        <w:rPr>
          <w:rtl w:val="0"/>
        </w:rPr>
        <w:t xml:space="preserve">, Director for the European Institute for Public Administration’s antenna in Luxembourg – EIPA Luxembourg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i w:val="1"/>
          <w:rtl w:val="0"/>
        </w:rPr>
        <w:t xml:space="preserve">His Excellency Richard van Rijssen</w:t>
      </w:r>
      <w:r w:rsidDel="00000000" w:rsidR="00000000" w:rsidRPr="00000000">
        <w:rPr>
          <w:rtl w:val="0"/>
        </w:rPr>
        <w:t xml:space="preserve">, Ambassador of the Netherlands to Slovakia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5. What it means to work in a Team Presidency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27 November 2014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Programme: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challenges of the EU Presidency as seen by an US observer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Establishment of the Trio Presidency, opportunities for small Member State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Presidency experience in neighbouring V4 Member States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Speakers:</w:t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i w:val="1"/>
          <w:rtl w:val="0"/>
        </w:rPr>
        <w:t xml:space="preserve">David Reichardt </w:t>
      </w:r>
      <w:r w:rsidDel="00000000" w:rsidR="00000000" w:rsidRPr="00000000">
        <w:rPr>
          <w:rtl w:val="0"/>
        </w:rPr>
        <w:t xml:space="preserve">(USA),Faculty of Social Economic Sciences, Comenius University (MA an PhD in International Politics from the University of Denver, USA)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i w:val="1"/>
          <w:rtl w:val="0"/>
        </w:rPr>
        <w:t xml:space="preserve">Marta Jendekova</w:t>
      </w:r>
      <w:r w:rsidDel="00000000" w:rsidR="00000000" w:rsidRPr="00000000">
        <w:rPr>
          <w:rtl w:val="0"/>
        </w:rPr>
        <w:t xml:space="preserve">, AINova (English linguistics at FF UK Bratislava; MA in European Legal Studies, EIPA Luxembourg</w:t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Zuzana Stefankova, Ministry of Foreign and European Affairs/ Faculty of Law, Paneuropeans University (MA and PhD in Law at PF UK; LLM in EU Law from Rijksuniversiteit Groningen, the Netherlands)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 Become introduced to your role during the Slovak Presidency</w:t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9 October 2014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Programme:</w:t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Challenges of the EU Presidency for National Delegates &amp; Support Teams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Documents to be prepared during the Presidency</w:t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Presidency as seen from another Member State (Case Austria)</w:t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Speakers:</w:t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i w:val="1"/>
          <w:rtl w:val="0"/>
        </w:rPr>
        <w:t xml:space="preserve">Arad Benkö,</w:t>
      </w:r>
      <w:r w:rsidDel="00000000" w:rsidR="00000000" w:rsidRPr="00000000">
        <w:rPr>
          <w:rtl w:val="0"/>
        </w:rPr>
        <w:t xml:space="preserve"> Austrian Federal Ministry for European and International Affairs, Deputy Head of Department / Head of Unit (European Council, General Affairs Council, Foreign Affairs Council and COREPER II Coordination)</w:t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i w:val="1"/>
          <w:rtl w:val="0"/>
        </w:rPr>
        <w:t xml:space="preserve">Peter Goldschmidt,</w:t>
      </w:r>
      <w:r w:rsidDel="00000000" w:rsidR="00000000" w:rsidRPr="00000000">
        <w:rPr>
          <w:rtl w:val="0"/>
        </w:rPr>
        <w:t xml:space="preserve"> Director for the European Institute for Public Administration’s antenna in Luxembourg – EIPA Luxembourg</w:t>
      </w:r>
    </w:p>
    <w:p w:rsidR="00000000" w:rsidDel="00000000" w:rsidP="00000000" w:rsidRDefault="00000000" w:rsidRPr="00000000" w14:paraId="00000034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 EU Decision-making in detail</w:t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12 June 2014</w:t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Programme:</w:t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Overview of the steps in the EU decision-making process as linked to the national coordination of EU affairs</w:t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roles of institutions in the decision-making process (incl. informal trialogues)</w:t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Lithuanian Presidency experience</w:t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Speakers:</w:t>
      </w:r>
    </w:p>
    <w:p w:rsidR="00000000" w:rsidDel="00000000" w:rsidP="00000000" w:rsidRDefault="00000000" w:rsidRPr="00000000" w14:paraId="0000003B">
      <w:pPr>
        <w:spacing w:after="240" w:before="240" w:lineRule="auto"/>
        <w:rPr/>
      </w:pPr>
      <w:r w:rsidDel="00000000" w:rsidR="00000000" w:rsidRPr="00000000">
        <w:rPr>
          <w:i w:val="1"/>
          <w:rtl w:val="0"/>
        </w:rPr>
        <w:t xml:space="preserve">Edvilas Raudonikis, </w:t>
      </w:r>
      <w:r w:rsidDel="00000000" w:rsidR="00000000" w:rsidRPr="00000000">
        <w:rPr>
          <w:rtl w:val="0"/>
        </w:rPr>
        <w:t xml:space="preserve">Minister-Counsellor and Chargé d’Affares a.i., Embassy of the Lithuania in Vienna</w:t>
      </w:r>
    </w:p>
    <w:p w:rsidR="00000000" w:rsidDel="00000000" w:rsidP="00000000" w:rsidRDefault="00000000" w:rsidRPr="00000000" w14:paraId="0000003C">
      <w:pPr>
        <w:spacing w:after="240" w:before="240" w:lineRule="auto"/>
        <w:rPr/>
      </w:pPr>
      <w:r w:rsidDel="00000000" w:rsidR="00000000" w:rsidRPr="00000000">
        <w:rPr>
          <w:i w:val="1"/>
          <w:rtl w:val="0"/>
        </w:rPr>
        <w:t xml:space="preserve">Marta Jendekova,</w:t>
      </w:r>
      <w:r w:rsidDel="00000000" w:rsidR="00000000" w:rsidRPr="00000000">
        <w:rPr>
          <w:rtl w:val="0"/>
        </w:rPr>
        <w:t xml:space="preserve"> AINova (English linguistics at FF UK Bratislava; MA in European Legal Studies, EIPA Luxembourg</w:t>
      </w:r>
    </w:p>
    <w:p w:rsidR="00000000" w:rsidDel="00000000" w:rsidP="00000000" w:rsidRDefault="00000000" w:rsidRPr="00000000" w14:paraId="0000003D">
      <w:pPr>
        <w:spacing w:after="240" w:before="240" w:lineRule="auto"/>
        <w:rPr/>
      </w:pPr>
      <w:r w:rsidDel="00000000" w:rsidR="00000000" w:rsidRPr="00000000">
        <w:rPr>
          <w:i w:val="1"/>
          <w:rtl w:val="0"/>
        </w:rPr>
        <w:t xml:space="preserve">Zuzana Stefankova,</w:t>
      </w:r>
      <w:r w:rsidDel="00000000" w:rsidR="00000000" w:rsidRPr="00000000">
        <w:rPr>
          <w:rtl w:val="0"/>
        </w:rPr>
        <w:t xml:space="preserve"> Ministry of Foreign and European Affairs/ Faculty of Law, Paneuropeans University (MA and PhD in Law at PF UK; LLM in EU Law from Rijksuniversiteit Groningen, the Netherlands)</w:t>
      </w:r>
    </w:p>
    <w:p w:rsidR="00000000" w:rsidDel="00000000" w:rsidP="00000000" w:rsidRDefault="00000000" w:rsidRPr="00000000" w14:paraId="0000003E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 Slovakia as an honest broker or interest defender</w:t>
      </w:r>
    </w:p>
    <w:p w:rsidR="00000000" w:rsidDel="00000000" w:rsidP="00000000" w:rsidRDefault="00000000" w:rsidRPr="00000000" w14:paraId="0000003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20 February 2014</w:t>
      </w:r>
    </w:p>
    <w:p w:rsidR="00000000" w:rsidDel="00000000" w:rsidP="00000000" w:rsidRDefault="00000000" w:rsidRPr="00000000" w14:paraId="0000004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Programme:</w:t>
      </w:r>
    </w:p>
    <w:p w:rsidR="00000000" w:rsidDel="00000000" w:rsidP="00000000" w:rsidRDefault="00000000" w:rsidRPr="00000000" w14:paraId="0000004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Roles of the EU Presidency and the National Delegate</w:t>
      </w:r>
    </w:p>
    <w:p w:rsidR="00000000" w:rsidDel="00000000" w:rsidP="00000000" w:rsidRDefault="00000000" w:rsidRPr="00000000" w14:paraId="0000004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What to Consider when Preparing for the EU Presidency?</w:t>
      </w:r>
    </w:p>
    <w:p w:rsidR="00000000" w:rsidDel="00000000" w:rsidP="00000000" w:rsidRDefault="00000000" w:rsidRPr="00000000" w14:paraId="0000004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Experience from Austria</w:t>
      </w:r>
    </w:p>
    <w:p w:rsidR="00000000" w:rsidDel="00000000" w:rsidP="00000000" w:rsidRDefault="00000000" w:rsidRPr="00000000" w14:paraId="0000004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Speakers:</w:t>
      </w:r>
    </w:p>
    <w:p w:rsidR="00000000" w:rsidDel="00000000" w:rsidP="00000000" w:rsidRDefault="00000000" w:rsidRPr="00000000" w14:paraId="00000045">
      <w:pPr>
        <w:spacing w:after="240" w:before="240" w:lineRule="auto"/>
        <w:rPr/>
      </w:pPr>
      <w:r w:rsidDel="00000000" w:rsidR="00000000" w:rsidRPr="00000000">
        <w:rPr>
          <w:i w:val="1"/>
          <w:rtl w:val="0"/>
        </w:rPr>
        <w:t xml:space="preserve">Arad Benkö</w:t>
      </w:r>
      <w:r w:rsidDel="00000000" w:rsidR="00000000" w:rsidRPr="00000000">
        <w:rPr>
          <w:rtl w:val="0"/>
        </w:rPr>
        <w:t xml:space="preserve">, Austrian Federal Ministry for European and International Affairs, Deputy Head of Department / Head of Unit (European Council, General Affairs Council, Foreign Affairs Council and COREPER II Coordination)</w:t>
      </w:r>
    </w:p>
    <w:p w:rsidR="00000000" w:rsidDel="00000000" w:rsidP="00000000" w:rsidRDefault="00000000" w:rsidRPr="00000000" w14:paraId="00000046">
      <w:pPr>
        <w:spacing w:after="240" w:before="240" w:lineRule="auto"/>
        <w:rPr/>
      </w:pPr>
      <w:r w:rsidDel="00000000" w:rsidR="00000000" w:rsidRPr="00000000">
        <w:rPr>
          <w:i w:val="1"/>
          <w:rtl w:val="0"/>
        </w:rPr>
        <w:t xml:space="preserve">Peter Goldschmidt</w:t>
      </w:r>
      <w:r w:rsidDel="00000000" w:rsidR="00000000" w:rsidRPr="00000000">
        <w:rPr>
          <w:rtl w:val="0"/>
        </w:rPr>
        <w:t xml:space="preserve">, Director for the European Institute for Public Administration’s antenna in Luxembourg – EIPA Luxembourg</w:t>
      </w:r>
    </w:p>
    <w:p w:rsidR="00000000" w:rsidDel="00000000" w:rsidP="00000000" w:rsidRDefault="00000000" w:rsidRPr="00000000" w14:paraId="0000004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1.Council working methods I</w:t>
      </w:r>
    </w:p>
    <w:p w:rsidR="00000000" w:rsidDel="00000000" w:rsidP="00000000" w:rsidRDefault="00000000" w:rsidRPr="00000000" w14:paraId="0000004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12 December 2013</w:t>
      </w:r>
    </w:p>
    <w:p w:rsidR="00000000" w:rsidDel="00000000" w:rsidP="00000000" w:rsidRDefault="00000000" w:rsidRPr="00000000" w14:paraId="0000004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Programme:</w:t>
      </w:r>
    </w:p>
    <w:p w:rsidR="00000000" w:rsidDel="00000000" w:rsidP="00000000" w:rsidRDefault="00000000" w:rsidRPr="00000000" w14:paraId="0000004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Council preparatory bodies (Council Working Parties, Coreper, Special Committees, Council)</w:t>
      </w:r>
    </w:p>
    <w:p w:rsidR="00000000" w:rsidDel="00000000" w:rsidP="00000000" w:rsidRDefault="00000000" w:rsidRPr="00000000" w14:paraId="0000004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European Council (President)</w:t>
      </w:r>
    </w:p>
    <w:p w:rsidR="00000000" w:rsidDel="00000000" w:rsidP="00000000" w:rsidRDefault="00000000" w:rsidRPr="00000000" w14:paraId="0000004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Council Presidency in the Treaties, Council Rules of Procedure (related to the Presidency) Presidency Trio, Presidency Programme (its formulation, sources)</w:t>
      </w:r>
    </w:p>
    <w:p w:rsidR="00000000" w:rsidDel="00000000" w:rsidP="00000000" w:rsidRDefault="00000000" w:rsidRPr="00000000" w14:paraId="0000004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Cooperation of the Council with European Commission and European Parliament (interinstitutional agreements, informal trialogues)</w:t>
      </w:r>
    </w:p>
    <w:p w:rsidR="00000000" w:rsidDel="00000000" w:rsidP="00000000" w:rsidRDefault="00000000" w:rsidRPr="00000000" w14:paraId="0000004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Role of General Secretariat (structure, tasks, Legal Service, Language Service…)</w:t>
      </w:r>
    </w:p>
    <w:p w:rsidR="00000000" w:rsidDel="00000000" w:rsidP="00000000" w:rsidRDefault="00000000" w:rsidRPr="00000000" w14:paraId="0000004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Speakers:</w:t>
      </w:r>
    </w:p>
    <w:p w:rsidR="00000000" w:rsidDel="00000000" w:rsidP="00000000" w:rsidRDefault="00000000" w:rsidRPr="00000000" w14:paraId="00000050">
      <w:pPr>
        <w:spacing w:after="240" w:before="240" w:lineRule="auto"/>
        <w:rPr/>
      </w:pPr>
      <w:r w:rsidDel="00000000" w:rsidR="00000000" w:rsidRPr="00000000">
        <w:rPr>
          <w:i w:val="1"/>
          <w:rtl w:val="0"/>
        </w:rPr>
        <w:t xml:space="preserve">Zuzana Stefankova,</w:t>
      </w:r>
      <w:r w:rsidDel="00000000" w:rsidR="00000000" w:rsidRPr="00000000">
        <w:rPr>
          <w:rtl w:val="0"/>
        </w:rPr>
        <w:t xml:space="preserve"> Ministry of Foreign and European Affairs/ Faculty of Law, Paneuropeans University (MA and PhD in Law at PF UK; LLM in EU Law from Rijksuniversiteit Groningen, the Netherlands)</w:t>
      </w:r>
    </w:p>
    <w:p w:rsidR="00000000" w:rsidDel="00000000" w:rsidP="00000000" w:rsidRDefault="00000000" w:rsidRPr="00000000" w14:paraId="00000051">
      <w:pPr>
        <w:spacing w:after="240" w:before="240" w:lineRule="auto"/>
        <w:rPr/>
      </w:pPr>
      <w:r w:rsidDel="00000000" w:rsidR="00000000" w:rsidRPr="00000000">
        <w:rPr>
          <w:i w:val="1"/>
          <w:rtl w:val="0"/>
        </w:rPr>
        <w:t xml:space="preserve">Marta Jendekova,</w:t>
      </w:r>
      <w:r w:rsidDel="00000000" w:rsidR="00000000" w:rsidRPr="00000000">
        <w:rPr>
          <w:rtl w:val="0"/>
        </w:rPr>
        <w:t xml:space="preserve"> AINova (English linguistics at FF UK Bratislava; MA in European Legal Studies, EIPA Luxembourg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ainova.sk/files/file/es/Seminar%20May%202016_draft%20pr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