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B6837" w:rsidRPr="00293A01" w:rsidTr="002D21C7">
        <w:trPr>
          <w:trHeight w:val="12631"/>
        </w:trPr>
        <w:tc>
          <w:tcPr>
            <w:tcW w:w="9212" w:type="dxa"/>
            <w:vAlign w:val="center"/>
          </w:tcPr>
          <w:p w:rsidR="00EB6837" w:rsidRDefault="00EB6837" w:rsidP="002D21C7">
            <w:pPr>
              <w:jc w:val="both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Country Profile</w:t>
            </w:r>
          </w:p>
          <w:p w:rsidR="00EB6837" w:rsidRDefault="00EB6837" w:rsidP="002D21C7">
            <w:pPr>
              <w:jc w:val="both"/>
              <w:rPr>
                <w:rFonts w:ascii="Arial" w:hAnsi="Arial" w:cs="Arial"/>
              </w:rPr>
            </w:pPr>
          </w:p>
          <w:p w:rsidR="00EB6837" w:rsidRDefault="00EB6837" w:rsidP="002D21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REGIONAL – Comparative Analysis of Regional Policies for Adult Learning</w:t>
            </w:r>
          </w:p>
          <w:p w:rsidR="00EB6837" w:rsidRDefault="00EB6837" w:rsidP="002D21C7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3"/>
              <w:gridCol w:w="6723"/>
            </w:tblGrid>
            <w:tr w:rsidR="00EB6837" w:rsidTr="002D21C7">
              <w:trPr>
                <w:trHeight w:val="122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Project Reference no. </w:t>
                  </w:r>
                </w:p>
              </w:tc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539389-LLP-1-2013-1-DE-GRUNDTVIG-GMP </w:t>
                  </w:r>
                </w:p>
              </w:tc>
            </w:tr>
            <w:tr w:rsidR="00EB6837" w:rsidTr="002D21C7">
              <w:trPr>
                <w:trHeight w:val="11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Workpackage no. </w:t>
                  </w:r>
                </w:p>
              </w:tc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WP 2 – Research </w:t>
                  </w:r>
                </w:p>
              </w:tc>
            </w:tr>
            <w:tr w:rsidR="00EB6837" w:rsidTr="002D21C7">
              <w:trPr>
                <w:trHeight w:val="11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Deliverable no. </w:t>
                  </w:r>
                </w:p>
              </w:tc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 2.2 – Country Profile</w:t>
                  </w:r>
                </w:p>
              </w:tc>
            </w:tr>
            <w:tr w:rsidR="00EB6837" w:rsidTr="002D21C7">
              <w:trPr>
                <w:trHeight w:val="11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Nature </w:t>
                  </w:r>
                </w:p>
              </w:tc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 (Report) </w:t>
                  </w:r>
                </w:p>
              </w:tc>
            </w:tr>
            <w:tr w:rsidR="00EB6837" w:rsidRPr="00904792" w:rsidTr="002D21C7">
              <w:trPr>
                <w:trHeight w:val="48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Dissemination Level </w:t>
                  </w:r>
                </w:p>
              </w:tc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Pr="00213123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PU – Public</w:t>
                  </w:r>
                </w:p>
              </w:tc>
            </w:tr>
            <w:tr w:rsidR="00EB6837" w:rsidTr="002D21C7">
              <w:trPr>
                <w:trHeight w:val="11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Document version </w:t>
                  </w:r>
                </w:p>
              </w:tc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01</w:t>
                  </w:r>
                </w:p>
              </w:tc>
            </w:tr>
            <w:tr w:rsidR="00EB6837" w:rsidTr="002D21C7">
              <w:trPr>
                <w:trHeight w:val="11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Date </w:t>
                  </w:r>
                </w:p>
              </w:tc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02/02/2015 </w:t>
                  </w:r>
                </w:p>
              </w:tc>
            </w:tr>
            <w:tr w:rsidR="00EB6837" w:rsidRPr="00293A01" w:rsidTr="002D21C7">
              <w:trPr>
                <w:trHeight w:val="11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Partner </w:t>
                  </w:r>
                </w:p>
              </w:tc>
              <w:tc>
                <w:tcPr>
                  <w:tcW w:w="6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837" w:rsidRDefault="00EB6837" w:rsidP="002D21C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val="de-DE"/>
                    </w:rPr>
                  </w:pPr>
                  <w:r w:rsidRPr="00293A01">
                    <w:rPr>
                      <w:rFonts w:ascii="Calibri" w:hAnsi="Calibri" w:cs="Calibri"/>
                      <w:color w:val="000000"/>
                      <w:lang w:val="de-DE"/>
                    </w:rPr>
                    <w:t>P</w:t>
                  </w:r>
                  <w:r>
                    <w:rPr>
                      <w:rFonts w:ascii="Calibri" w:hAnsi="Calibri" w:cs="Calibri"/>
                      <w:color w:val="000000"/>
                      <w:lang w:val="de-DE"/>
                    </w:rPr>
                    <w:t>7 – Academia Istropolitana Nova (AINova)</w:t>
                  </w:r>
                </w:p>
              </w:tc>
            </w:tr>
          </w:tbl>
          <w:p w:rsidR="00EB6837" w:rsidRPr="00293A01" w:rsidRDefault="00EB6837" w:rsidP="002D21C7">
            <w:pPr>
              <w:spacing w:line="360" w:lineRule="auto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351744" w:rsidRPr="0079009D" w:rsidRDefault="00351744">
      <w:pPr>
        <w:rPr>
          <w:rFonts w:asciiTheme="minorHAnsi" w:hAnsiTheme="minorHAnsi"/>
          <w:b/>
          <w:color w:val="1F497D" w:themeColor="text2"/>
          <w:sz w:val="32"/>
          <w:lang w:val="sk-SK"/>
        </w:rPr>
      </w:pPr>
    </w:p>
    <w:p w:rsidR="0005222F" w:rsidRPr="0079009D" w:rsidRDefault="0005222F" w:rsidP="0005222F">
      <w:pPr>
        <w:jc w:val="center"/>
        <w:rPr>
          <w:rFonts w:asciiTheme="minorHAnsi" w:hAnsiTheme="minorHAnsi"/>
          <w:b/>
          <w:color w:val="1F497D" w:themeColor="text2"/>
          <w:sz w:val="32"/>
          <w:lang w:val="sk-SK"/>
        </w:rPr>
      </w:pPr>
      <w:r w:rsidRPr="0079009D">
        <w:rPr>
          <w:rFonts w:asciiTheme="minorHAnsi" w:hAnsiTheme="minorHAnsi"/>
          <w:b/>
          <w:color w:val="1F497D" w:themeColor="text2"/>
          <w:sz w:val="32"/>
          <w:lang w:val="sk-SK"/>
        </w:rPr>
        <w:t xml:space="preserve">REGIONAL - Správa o krajine </w:t>
      </w:r>
    </w:p>
    <w:p w:rsidR="0005222F" w:rsidRPr="0079009D" w:rsidRDefault="0005222F" w:rsidP="0005222F">
      <w:pPr>
        <w:rPr>
          <w:rFonts w:asciiTheme="minorHAnsi" w:hAnsiTheme="minorHAnsi"/>
          <w:b/>
          <w:color w:val="1F497D" w:themeColor="text2"/>
          <w:sz w:val="28"/>
          <w:szCs w:val="28"/>
          <w:lang w:val="sk-SK"/>
        </w:rPr>
      </w:pPr>
    </w:p>
    <w:sdt>
      <w:sdtPr>
        <w:rPr>
          <w:rFonts w:asciiTheme="minorHAnsi" w:eastAsiaTheme="minorHAnsi" w:hAnsiTheme="minorHAnsi"/>
          <w:b w:val="0"/>
          <w:bCs w:val="0"/>
          <w:color w:val="1F497D" w:themeColor="text2"/>
          <w:sz w:val="24"/>
          <w:szCs w:val="24"/>
          <w:lang w:val="sk-SK" w:eastAsia="zh-CN"/>
        </w:rPr>
        <w:id w:val="181622293"/>
        <w:docPartObj>
          <w:docPartGallery w:val="Table of Contents"/>
          <w:docPartUnique/>
        </w:docPartObj>
      </w:sdtPr>
      <w:sdtContent>
        <w:p w:rsidR="0005222F" w:rsidRPr="0079009D" w:rsidRDefault="0005222F" w:rsidP="0005222F">
          <w:pPr>
            <w:pStyle w:val="Hlavikaobsahu"/>
            <w:rPr>
              <w:rFonts w:asciiTheme="minorHAnsi" w:hAnsiTheme="minorHAnsi"/>
              <w:color w:val="1F497D" w:themeColor="text2"/>
              <w:lang w:val="sk-SK"/>
            </w:rPr>
          </w:pPr>
          <w:r w:rsidRPr="0079009D">
            <w:rPr>
              <w:rFonts w:asciiTheme="minorHAnsi" w:hAnsiTheme="minorHAnsi"/>
              <w:color w:val="1F497D" w:themeColor="text2"/>
              <w:lang w:val="sk-SK"/>
            </w:rPr>
            <w:t>Obsah</w:t>
          </w:r>
        </w:p>
        <w:p w:rsidR="00FA7E2D" w:rsidRPr="00FA7E2D" w:rsidRDefault="006A64D7">
          <w:pPr>
            <w:pStyle w:val="Obsah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r w:rsidRPr="0079009D">
            <w:rPr>
              <w:rFonts w:asciiTheme="minorHAnsi" w:hAnsiTheme="minorHAnsi"/>
              <w:b/>
              <w:color w:val="1F497D" w:themeColor="text2"/>
              <w:sz w:val="28"/>
              <w:szCs w:val="28"/>
              <w:lang w:val="sk-SK"/>
            </w:rPr>
            <w:fldChar w:fldCharType="begin"/>
          </w:r>
          <w:r w:rsidR="0005222F" w:rsidRPr="0079009D">
            <w:rPr>
              <w:rFonts w:asciiTheme="minorHAnsi" w:hAnsiTheme="minorHAnsi"/>
              <w:b/>
              <w:color w:val="1F497D" w:themeColor="text2"/>
              <w:sz w:val="28"/>
              <w:szCs w:val="28"/>
              <w:lang w:val="sk-SK"/>
            </w:rPr>
            <w:instrText xml:space="preserve"> TOC \o "1-3" \h \z \u </w:instrText>
          </w:r>
          <w:r w:rsidRPr="0079009D">
            <w:rPr>
              <w:rFonts w:asciiTheme="minorHAnsi" w:hAnsiTheme="minorHAnsi"/>
              <w:b/>
              <w:color w:val="1F497D" w:themeColor="text2"/>
              <w:sz w:val="28"/>
              <w:szCs w:val="28"/>
              <w:lang w:val="sk-SK"/>
            </w:rPr>
            <w:fldChar w:fldCharType="separate"/>
          </w:r>
          <w:hyperlink w:anchor="_Toc421866794" w:history="1">
            <w:r w:rsidR="00FA7E2D" w:rsidRPr="00FA7E2D">
              <w:rPr>
                <w:rStyle w:val="Hypertextovprepojenie"/>
                <w:rFonts w:asciiTheme="minorHAnsi" w:hAnsiTheme="minorHAnsi"/>
                <w:noProof/>
                <w:lang w:val="sk-SK"/>
              </w:rPr>
              <w:t>Zhrnutie</w:t>
            </w:r>
            <w:r w:rsidR="00FA7E2D" w:rsidRPr="00FA7E2D">
              <w:rPr>
                <w:rFonts w:asciiTheme="minorHAnsi" w:hAnsiTheme="minorHAnsi"/>
                <w:noProof/>
                <w:webHidden/>
              </w:rPr>
              <w:tab/>
            </w:r>
            <w:r w:rsidR="00FA7E2D" w:rsidRPr="00FA7E2D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FA7E2D" w:rsidRPr="00FA7E2D">
              <w:rPr>
                <w:rFonts w:asciiTheme="minorHAnsi" w:hAnsiTheme="minorHAnsi"/>
                <w:noProof/>
                <w:webHidden/>
              </w:rPr>
              <w:instrText xml:space="preserve"> PAGEREF _Toc421866794 \h </w:instrText>
            </w:r>
            <w:r w:rsidR="00FA7E2D" w:rsidRPr="00FA7E2D">
              <w:rPr>
                <w:rFonts w:asciiTheme="minorHAnsi" w:hAnsiTheme="minorHAnsi"/>
                <w:noProof/>
                <w:webHidden/>
              </w:rPr>
            </w:r>
            <w:r w:rsidR="00FA7E2D" w:rsidRPr="00FA7E2D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FA7E2D" w:rsidRPr="00FA7E2D">
              <w:rPr>
                <w:rFonts w:asciiTheme="minorHAnsi" w:hAnsiTheme="minorHAnsi"/>
                <w:noProof/>
                <w:webHidden/>
              </w:rPr>
              <w:t>2</w:t>
            </w:r>
            <w:r w:rsidR="00FA7E2D" w:rsidRPr="00FA7E2D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FA7E2D" w:rsidRPr="00FA7E2D" w:rsidRDefault="00FA7E2D">
          <w:pPr>
            <w:pStyle w:val="Obsah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421866795" w:history="1">
            <w:r w:rsidRPr="00FA7E2D">
              <w:rPr>
                <w:rStyle w:val="Hypertextovprepojenie"/>
                <w:rFonts w:asciiTheme="minorHAnsi" w:hAnsiTheme="minorHAnsi"/>
                <w:noProof/>
                <w:lang w:val="sk-SK"/>
              </w:rPr>
              <w:t>Úvod: Projekt REGIONAL a Slovensko</w:t>
            </w:r>
            <w:r w:rsidRPr="00FA7E2D">
              <w:rPr>
                <w:rFonts w:asciiTheme="minorHAnsi" w:hAnsiTheme="minorHAnsi"/>
                <w:noProof/>
                <w:webHidden/>
              </w:rPr>
              <w:tab/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A7E2D">
              <w:rPr>
                <w:rFonts w:asciiTheme="minorHAnsi" w:hAnsiTheme="minorHAnsi"/>
                <w:noProof/>
                <w:webHidden/>
              </w:rPr>
              <w:instrText xml:space="preserve"> PAGEREF _Toc421866795 \h </w:instrText>
            </w:r>
            <w:r w:rsidRPr="00FA7E2D">
              <w:rPr>
                <w:rFonts w:asciiTheme="minorHAnsi" w:hAnsiTheme="minorHAnsi"/>
                <w:noProof/>
                <w:webHidden/>
              </w:rPr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FA7E2D">
              <w:rPr>
                <w:rFonts w:asciiTheme="minorHAnsi" w:hAnsiTheme="minorHAnsi"/>
                <w:noProof/>
                <w:webHidden/>
              </w:rPr>
              <w:t>3</w:t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FA7E2D" w:rsidRPr="00FA7E2D" w:rsidRDefault="00FA7E2D">
          <w:pPr>
            <w:pStyle w:val="Obsah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421866796" w:history="1">
            <w:r w:rsidRPr="00FA7E2D">
              <w:rPr>
                <w:rStyle w:val="Hypertextovprepojenie"/>
                <w:rFonts w:asciiTheme="minorHAnsi" w:hAnsiTheme="minorHAnsi"/>
                <w:noProof/>
                <w:lang w:val="sk-SK"/>
              </w:rPr>
              <w:t>Formulovanie politiky vzdelávania dospelých</w:t>
            </w:r>
            <w:r w:rsidRPr="00FA7E2D">
              <w:rPr>
                <w:rFonts w:asciiTheme="minorHAnsi" w:hAnsiTheme="minorHAnsi"/>
                <w:noProof/>
                <w:webHidden/>
              </w:rPr>
              <w:tab/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A7E2D">
              <w:rPr>
                <w:rFonts w:asciiTheme="minorHAnsi" w:hAnsiTheme="minorHAnsi"/>
                <w:noProof/>
                <w:webHidden/>
              </w:rPr>
              <w:instrText xml:space="preserve"> PAGEREF _Toc421866796 \h </w:instrText>
            </w:r>
            <w:r w:rsidRPr="00FA7E2D">
              <w:rPr>
                <w:rFonts w:asciiTheme="minorHAnsi" w:hAnsiTheme="minorHAnsi"/>
                <w:noProof/>
                <w:webHidden/>
              </w:rPr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FA7E2D">
              <w:rPr>
                <w:rFonts w:asciiTheme="minorHAnsi" w:hAnsiTheme="minorHAnsi"/>
                <w:noProof/>
                <w:webHidden/>
              </w:rPr>
              <w:t>5</w:t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FA7E2D" w:rsidRPr="00FA7E2D" w:rsidRDefault="00FA7E2D">
          <w:pPr>
            <w:pStyle w:val="Obsah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421866797" w:history="1">
            <w:r w:rsidRPr="00FA7E2D">
              <w:rPr>
                <w:rStyle w:val="Hypertextovprepojenie"/>
                <w:rFonts w:asciiTheme="minorHAnsi" w:hAnsiTheme="minorHAnsi"/>
                <w:noProof/>
                <w:lang w:val="sk-SK"/>
              </w:rPr>
              <w:t>Financovanie vzdelávania dospelých</w:t>
            </w:r>
            <w:r w:rsidRPr="00FA7E2D">
              <w:rPr>
                <w:rFonts w:asciiTheme="minorHAnsi" w:hAnsiTheme="minorHAnsi"/>
                <w:noProof/>
                <w:webHidden/>
              </w:rPr>
              <w:tab/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A7E2D">
              <w:rPr>
                <w:rFonts w:asciiTheme="minorHAnsi" w:hAnsiTheme="minorHAnsi"/>
                <w:noProof/>
                <w:webHidden/>
              </w:rPr>
              <w:instrText xml:space="preserve"> PAGEREF _Toc421866797 \h </w:instrText>
            </w:r>
            <w:r w:rsidRPr="00FA7E2D">
              <w:rPr>
                <w:rFonts w:asciiTheme="minorHAnsi" w:hAnsiTheme="minorHAnsi"/>
                <w:noProof/>
                <w:webHidden/>
              </w:rPr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FA7E2D">
              <w:rPr>
                <w:rFonts w:asciiTheme="minorHAnsi" w:hAnsiTheme="minorHAnsi"/>
                <w:noProof/>
                <w:webHidden/>
              </w:rPr>
              <w:t>8</w:t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FA7E2D" w:rsidRPr="00FA7E2D" w:rsidRDefault="00FA7E2D">
          <w:pPr>
            <w:pStyle w:val="Obsah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421866798" w:history="1">
            <w:r w:rsidRPr="00FA7E2D">
              <w:rPr>
                <w:rStyle w:val="Hypertextovprepojenie"/>
                <w:rFonts w:asciiTheme="minorHAnsi" w:hAnsiTheme="minorHAnsi"/>
                <w:noProof/>
                <w:lang w:val="sk-SK"/>
              </w:rPr>
              <w:t>Kľúčové zistenia</w:t>
            </w:r>
            <w:r w:rsidRPr="00FA7E2D">
              <w:rPr>
                <w:rFonts w:asciiTheme="minorHAnsi" w:hAnsiTheme="minorHAnsi"/>
                <w:noProof/>
                <w:webHidden/>
              </w:rPr>
              <w:tab/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A7E2D">
              <w:rPr>
                <w:rFonts w:asciiTheme="minorHAnsi" w:hAnsiTheme="minorHAnsi"/>
                <w:noProof/>
                <w:webHidden/>
              </w:rPr>
              <w:instrText xml:space="preserve"> PAGEREF _Toc421866798 \h </w:instrText>
            </w:r>
            <w:r w:rsidRPr="00FA7E2D">
              <w:rPr>
                <w:rFonts w:asciiTheme="minorHAnsi" w:hAnsiTheme="minorHAnsi"/>
                <w:noProof/>
                <w:webHidden/>
              </w:rPr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FA7E2D">
              <w:rPr>
                <w:rFonts w:asciiTheme="minorHAnsi" w:hAnsiTheme="minorHAnsi"/>
                <w:noProof/>
                <w:webHidden/>
              </w:rPr>
              <w:t>9</w:t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FA7E2D" w:rsidRPr="00FA7E2D" w:rsidRDefault="00FA7E2D">
          <w:pPr>
            <w:pStyle w:val="Obsah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421866799" w:history="1">
            <w:r w:rsidRPr="00FA7E2D">
              <w:rPr>
                <w:rStyle w:val="Hypertextovprepojenie"/>
                <w:rFonts w:asciiTheme="minorHAnsi" w:hAnsiTheme="minorHAnsi"/>
                <w:noProof/>
                <w:lang w:val="sk-SK"/>
              </w:rPr>
              <w:t>Závery</w:t>
            </w:r>
            <w:r w:rsidRPr="00FA7E2D">
              <w:rPr>
                <w:rFonts w:asciiTheme="minorHAnsi" w:hAnsiTheme="minorHAnsi"/>
                <w:noProof/>
                <w:webHidden/>
              </w:rPr>
              <w:tab/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A7E2D">
              <w:rPr>
                <w:rFonts w:asciiTheme="minorHAnsi" w:hAnsiTheme="minorHAnsi"/>
                <w:noProof/>
                <w:webHidden/>
              </w:rPr>
              <w:instrText xml:space="preserve"> PAGEREF _Toc421866799 \h </w:instrText>
            </w:r>
            <w:r w:rsidRPr="00FA7E2D">
              <w:rPr>
                <w:rFonts w:asciiTheme="minorHAnsi" w:hAnsiTheme="minorHAnsi"/>
                <w:noProof/>
                <w:webHidden/>
              </w:rPr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FA7E2D">
              <w:rPr>
                <w:rFonts w:asciiTheme="minorHAnsi" w:hAnsiTheme="minorHAnsi"/>
                <w:noProof/>
                <w:webHidden/>
              </w:rPr>
              <w:t>10</w:t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FA7E2D" w:rsidRDefault="00FA7E2D">
          <w:pPr>
            <w:pStyle w:val="Obsah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421866800" w:history="1">
            <w:r w:rsidRPr="00FA7E2D">
              <w:rPr>
                <w:rStyle w:val="Hypertextovprepojenie"/>
                <w:rFonts w:asciiTheme="minorHAnsi" w:hAnsiTheme="minorHAnsi"/>
                <w:noProof/>
                <w:lang w:val="sk-SK"/>
              </w:rPr>
              <w:t>Bibliografia</w:t>
            </w:r>
            <w:r w:rsidRPr="00FA7E2D">
              <w:rPr>
                <w:rFonts w:asciiTheme="minorHAnsi" w:hAnsiTheme="minorHAnsi"/>
                <w:noProof/>
                <w:webHidden/>
              </w:rPr>
              <w:tab/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FA7E2D">
              <w:rPr>
                <w:rFonts w:asciiTheme="minorHAnsi" w:hAnsiTheme="minorHAnsi"/>
                <w:noProof/>
                <w:webHidden/>
              </w:rPr>
              <w:instrText xml:space="preserve"> PAGEREF _Toc421866800 \h </w:instrText>
            </w:r>
            <w:r w:rsidRPr="00FA7E2D">
              <w:rPr>
                <w:rFonts w:asciiTheme="minorHAnsi" w:hAnsiTheme="minorHAnsi"/>
                <w:noProof/>
                <w:webHidden/>
              </w:rPr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FA7E2D">
              <w:rPr>
                <w:rFonts w:asciiTheme="minorHAnsi" w:hAnsiTheme="minorHAnsi"/>
                <w:noProof/>
                <w:webHidden/>
              </w:rPr>
              <w:t>11</w:t>
            </w:r>
            <w:r w:rsidRPr="00FA7E2D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D31F73" w:rsidRPr="0079009D" w:rsidRDefault="006A64D7" w:rsidP="0005222F">
          <w:pPr>
            <w:rPr>
              <w:rFonts w:asciiTheme="minorHAnsi" w:hAnsiTheme="minorHAnsi"/>
              <w:sz w:val="22"/>
              <w:lang w:val="sk-SK"/>
            </w:rPr>
          </w:pPr>
          <w:r w:rsidRPr="0079009D">
            <w:rPr>
              <w:rFonts w:asciiTheme="minorHAnsi" w:hAnsiTheme="minorHAnsi"/>
              <w:b/>
              <w:color w:val="1F497D" w:themeColor="text2"/>
              <w:sz w:val="28"/>
              <w:szCs w:val="28"/>
              <w:lang w:val="sk-SK"/>
            </w:rPr>
            <w:fldChar w:fldCharType="end"/>
          </w:r>
        </w:p>
      </w:sdtContent>
    </w:sdt>
    <w:p w:rsidR="00D31F73" w:rsidRPr="0079009D" w:rsidRDefault="00D31F73">
      <w:pPr>
        <w:rPr>
          <w:rFonts w:asciiTheme="minorHAnsi" w:hAnsiTheme="minorHAnsi"/>
          <w:sz w:val="22"/>
          <w:lang w:val="sk-SK"/>
        </w:rPr>
      </w:pPr>
    </w:p>
    <w:p w:rsidR="00D31F73" w:rsidRPr="0079009D" w:rsidRDefault="00D31F73">
      <w:pPr>
        <w:rPr>
          <w:rFonts w:asciiTheme="minorHAnsi" w:hAnsiTheme="minorHAnsi"/>
          <w:sz w:val="22"/>
          <w:lang w:val="sk-SK"/>
        </w:rPr>
      </w:pPr>
    </w:p>
    <w:p w:rsidR="00D31F73" w:rsidRPr="0079009D" w:rsidRDefault="00D31F73">
      <w:pPr>
        <w:rPr>
          <w:rFonts w:asciiTheme="minorHAnsi" w:hAnsiTheme="minorHAnsi"/>
          <w:sz w:val="22"/>
          <w:lang w:val="sk-SK"/>
        </w:rPr>
      </w:pPr>
    </w:p>
    <w:p w:rsidR="00D31F73" w:rsidRPr="0079009D" w:rsidRDefault="00D31F73">
      <w:pPr>
        <w:rPr>
          <w:rFonts w:asciiTheme="minorHAnsi" w:hAnsiTheme="minorHAnsi"/>
          <w:sz w:val="22"/>
          <w:lang w:val="sk-SK"/>
        </w:rPr>
      </w:pPr>
    </w:p>
    <w:p w:rsidR="00D31F73" w:rsidRPr="0079009D" w:rsidRDefault="00D31F73">
      <w:pPr>
        <w:rPr>
          <w:rFonts w:asciiTheme="minorHAnsi" w:hAnsiTheme="minorHAnsi"/>
          <w:sz w:val="22"/>
          <w:lang w:val="sk-SK"/>
        </w:rPr>
      </w:pPr>
    </w:p>
    <w:p w:rsidR="00D31F73" w:rsidRPr="0079009D" w:rsidRDefault="00D31F73">
      <w:pPr>
        <w:rPr>
          <w:rFonts w:asciiTheme="minorHAnsi" w:hAnsiTheme="minorHAnsi"/>
          <w:sz w:val="22"/>
          <w:lang w:val="sk-SK"/>
        </w:rPr>
      </w:pPr>
    </w:p>
    <w:p w:rsidR="00D31F73" w:rsidRPr="0079009D" w:rsidRDefault="00D31F73">
      <w:pPr>
        <w:rPr>
          <w:rFonts w:asciiTheme="minorHAnsi" w:hAnsiTheme="minorHAnsi"/>
          <w:sz w:val="22"/>
          <w:lang w:val="sk-SK"/>
        </w:rPr>
      </w:pPr>
    </w:p>
    <w:p w:rsidR="00D31F73" w:rsidRPr="0079009D" w:rsidRDefault="00D31F73">
      <w:pPr>
        <w:rPr>
          <w:rFonts w:asciiTheme="minorHAnsi" w:hAnsiTheme="minorHAnsi"/>
          <w:sz w:val="22"/>
          <w:lang w:val="sk-SK"/>
        </w:rPr>
      </w:pPr>
    </w:p>
    <w:p w:rsidR="00D31F73" w:rsidRPr="0079009D" w:rsidRDefault="00D31F73">
      <w:pPr>
        <w:rPr>
          <w:rFonts w:asciiTheme="minorHAnsi" w:hAnsiTheme="minorHAnsi"/>
          <w:sz w:val="16"/>
          <w:szCs w:val="12"/>
          <w:lang w:val="sk-SK"/>
        </w:rPr>
      </w:pPr>
      <w:r w:rsidRPr="0079009D">
        <w:rPr>
          <w:rFonts w:asciiTheme="minorHAnsi" w:hAnsiTheme="minorHAnsi"/>
          <w:sz w:val="16"/>
          <w:szCs w:val="12"/>
          <w:lang w:val="sk-SK"/>
        </w:rPr>
        <w:br w:type="page"/>
      </w:r>
    </w:p>
    <w:p w:rsidR="00302D74" w:rsidRPr="0079009D" w:rsidRDefault="0005222F" w:rsidP="00302D74">
      <w:pPr>
        <w:pStyle w:val="Nadpis2"/>
        <w:rPr>
          <w:lang w:val="sk-SK"/>
        </w:rPr>
      </w:pPr>
      <w:bookmarkStart w:id="0" w:name="_Toc421866794"/>
      <w:r w:rsidRPr="0079009D">
        <w:rPr>
          <w:lang w:val="sk-SK"/>
        </w:rPr>
        <w:lastRenderedPageBreak/>
        <w:t>Zhrnutie</w:t>
      </w:r>
      <w:bookmarkEnd w:id="0"/>
    </w:p>
    <w:p w:rsidR="007467F2" w:rsidRPr="0079009D" w:rsidRDefault="007467F2" w:rsidP="007467F2">
      <w:pPr>
        <w:rPr>
          <w:lang w:val="sk-SK"/>
        </w:rPr>
      </w:pPr>
    </w:p>
    <w:p w:rsidR="007467F2" w:rsidRPr="0079009D" w:rsidRDefault="00FA7E2D" w:rsidP="007467F2">
      <w:pPr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Cieľom p</w:t>
      </w:r>
      <w:r w:rsidR="002A384E" w:rsidRPr="0079009D">
        <w:rPr>
          <w:rFonts w:asciiTheme="minorHAnsi" w:hAnsiTheme="minorHAnsi"/>
          <w:sz w:val="22"/>
          <w:szCs w:val="22"/>
          <w:lang w:val="sk-SK"/>
        </w:rPr>
        <w:t xml:space="preserve">rojektu REGIONAL </w:t>
      </w:r>
      <w:r>
        <w:rPr>
          <w:rFonts w:asciiTheme="minorHAnsi" w:hAnsiTheme="minorHAnsi"/>
          <w:sz w:val="22"/>
          <w:szCs w:val="22"/>
          <w:lang w:val="sk-SK"/>
        </w:rPr>
        <w:t xml:space="preserve">je </w:t>
      </w:r>
      <w:r w:rsidR="002A384E" w:rsidRPr="0079009D">
        <w:rPr>
          <w:rFonts w:asciiTheme="minorHAnsi" w:hAnsiTheme="minorHAnsi"/>
          <w:sz w:val="22"/>
          <w:szCs w:val="22"/>
          <w:lang w:val="sk-SK"/>
        </w:rPr>
        <w:t>analyticky porovnať politiky vzdelávania dospelých (VD), ako sú  formulované, implementované a financované v 16 regiónoch</w:t>
      </w:r>
      <w:r>
        <w:rPr>
          <w:rFonts w:asciiTheme="minorHAnsi" w:hAnsiTheme="minorHAnsi"/>
          <w:sz w:val="22"/>
          <w:szCs w:val="22"/>
          <w:lang w:val="sk-SK"/>
        </w:rPr>
        <w:t xml:space="preserve"> na úrovni NUTS 2</w:t>
      </w:r>
      <w:r w:rsidR="002A384E" w:rsidRPr="0079009D">
        <w:rPr>
          <w:rFonts w:asciiTheme="minorHAnsi" w:hAnsi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/>
          <w:sz w:val="22"/>
          <w:szCs w:val="22"/>
          <w:lang w:val="sk-SK"/>
        </w:rPr>
        <w:t xml:space="preserve">šiestich </w:t>
      </w:r>
      <w:r w:rsidR="002A384E" w:rsidRPr="0079009D">
        <w:rPr>
          <w:rFonts w:asciiTheme="minorHAnsi" w:hAnsiTheme="minorHAnsi"/>
          <w:sz w:val="22"/>
          <w:szCs w:val="22"/>
          <w:lang w:val="sk-SK"/>
        </w:rPr>
        <w:t>európskych krajín</w:t>
      </w:r>
      <w:r w:rsidR="002A384E">
        <w:rPr>
          <w:rFonts w:asciiTheme="minorHAnsi" w:hAnsiTheme="minorHAnsi"/>
          <w:sz w:val="22"/>
          <w:szCs w:val="22"/>
          <w:lang w:val="sk-SK"/>
        </w:rPr>
        <w:t>.</w:t>
      </w:r>
      <w:r w:rsidR="00465362" w:rsidRPr="0079009D">
        <w:rPr>
          <w:rFonts w:asciiTheme="minorHAnsi" w:hAnsiTheme="minorHAnsi"/>
          <w:sz w:val="22"/>
          <w:szCs w:val="22"/>
          <w:lang w:val="sk-SK"/>
        </w:rPr>
        <w:t xml:space="preserve"> Aby sa získal hĺbkový obraz o procese tvorby </w:t>
      </w:r>
      <w:r w:rsidR="00C31641" w:rsidRPr="0079009D">
        <w:rPr>
          <w:rFonts w:asciiTheme="minorHAnsi" w:hAnsiTheme="minorHAnsi"/>
          <w:sz w:val="22"/>
          <w:szCs w:val="22"/>
          <w:lang w:val="sk-SK"/>
        </w:rPr>
        <w:t>tejto politiky</w:t>
      </w:r>
      <w:r w:rsidR="00465362" w:rsidRPr="0079009D">
        <w:rPr>
          <w:rFonts w:asciiTheme="minorHAnsi" w:hAnsiTheme="minorHAnsi"/>
          <w:sz w:val="22"/>
          <w:szCs w:val="22"/>
          <w:lang w:val="sk-SK"/>
        </w:rPr>
        <w:t>,</w:t>
      </w:r>
      <w:r w:rsidR="002A384E">
        <w:rPr>
          <w:rFonts w:asciiTheme="minorHAnsi" w:hAnsiTheme="minorHAnsi"/>
          <w:sz w:val="22"/>
          <w:szCs w:val="22"/>
          <w:lang w:val="sk-SK"/>
        </w:rPr>
        <w:t xml:space="preserve"> partneri absolvovali </w:t>
      </w:r>
      <w:r w:rsidR="00465362" w:rsidRPr="0079009D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2A384E" w:rsidRPr="0079009D">
        <w:rPr>
          <w:rFonts w:asciiTheme="minorHAnsi" w:hAnsiTheme="minorHAnsi"/>
          <w:sz w:val="22"/>
          <w:szCs w:val="22"/>
          <w:lang w:val="sk-SK"/>
        </w:rPr>
        <w:t>rozhovory s tvorcami polit</w:t>
      </w:r>
      <w:r w:rsidR="002A384E">
        <w:rPr>
          <w:rFonts w:asciiTheme="minorHAnsi" w:hAnsiTheme="minorHAnsi"/>
          <w:sz w:val="22"/>
          <w:szCs w:val="22"/>
          <w:lang w:val="sk-SK"/>
        </w:rPr>
        <w:t>iky</w:t>
      </w:r>
      <w:r w:rsidR="002A384E" w:rsidRPr="0079009D">
        <w:rPr>
          <w:rFonts w:asciiTheme="minorHAnsi" w:hAnsiTheme="minorHAnsi"/>
          <w:sz w:val="22"/>
          <w:szCs w:val="22"/>
          <w:lang w:val="sk-SK"/>
        </w:rPr>
        <w:t xml:space="preserve"> VD</w:t>
      </w:r>
      <w:r w:rsidR="002A384E">
        <w:rPr>
          <w:rFonts w:asciiTheme="minorHAnsi" w:hAnsiTheme="minorHAnsi"/>
          <w:sz w:val="22"/>
          <w:szCs w:val="22"/>
          <w:lang w:val="sk-SK"/>
        </w:rPr>
        <w:t xml:space="preserve">, čomu </w:t>
      </w:r>
      <w:r w:rsidR="00465362" w:rsidRPr="0079009D">
        <w:rPr>
          <w:rFonts w:asciiTheme="minorHAnsi" w:hAnsiTheme="minorHAnsi"/>
          <w:sz w:val="22"/>
          <w:szCs w:val="22"/>
          <w:lang w:val="sk-SK"/>
        </w:rPr>
        <w:t xml:space="preserve">predchádzalo štúdium súvisiacich dokumentov, ktoré boli vytvorené </w:t>
      </w:r>
      <w:r w:rsidR="002A384E">
        <w:rPr>
          <w:rFonts w:asciiTheme="minorHAnsi" w:hAnsiTheme="minorHAnsi"/>
          <w:sz w:val="22"/>
          <w:szCs w:val="22"/>
          <w:lang w:val="sk-SK"/>
        </w:rPr>
        <w:t xml:space="preserve">od roku </w:t>
      </w:r>
      <w:r w:rsidR="00465362" w:rsidRPr="0079009D">
        <w:rPr>
          <w:rFonts w:asciiTheme="minorHAnsi" w:hAnsiTheme="minorHAnsi"/>
          <w:sz w:val="22"/>
          <w:szCs w:val="22"/>
          <w:lang w:val="sk-SK"/>
        </w:rPr>
        <w:t>2011</w:t>
      </w:r>
      <w:r w:rsidR="002A384E">
        <w:rPr>
          <w:rFonts w:asciiTheme="minorHAnsi" w:hAnsiTheme="minorHAnsi"/>
          <w:sz w:val="22"/>
          <w:szCs w:val="22"/>
          <w:lang w:val="sk-SK"/>
        </w:rPr>
        <w:t xml:space="preserve"> do roku</w:t>
      </w:r>
      <w:r w:rsidR="00465362" w:rsidRPr="0079009D">
        <w:rPr>
          <w:rFonts w:asciiTheme="minorHAnsi" w:hAnsiTheme="minorHAnsi"/>
          <w:sz w:val="22"/>
          <w:szCs w:val="22"/>
          <w:lang w:val="sk-SK"/>
        </w:rPr>
        <w:t xml:space="preserve"> 2014</w:t>
      </w:r>
      <w:r w:rsidR="007467F2" w:rsidRPr="0079009D">
        <w:rPr>
          <w:rFonts w:asciiTheme="minorHAnsi" w:hAnsiTheme="minorHAnsi"/>
          <w:sz w:val="22"/>
          <w:szCs w:val="22"/>
          <w:lang w:val="sk-SK"/>
        </w:rPr>
        <w:t>.</w:t>
      </w:r>
    </w:p>
    <w:p w:rsidR="00BA0DCD" w:rsidRPr="0079009D" w:rsidRDefault="00BA0DCD" w:rsidP="0033151E">
      <w:pPr>
        <w:pStyle w:val="Default"/>
        <w:rPr>
          <w:rFonts w:asciiTheme="minorHAnsi" w:hAnsiTheme="minorHAnsi"/>
          <w:sz w:val="22"/>
          <w:szCs w:val="22"/>
          <w:highlight w:val="yellow"/>
          <w:lang w:val="sk-SK"/>
        </w:rPr>
      </w:pPr>
    </w:p>
    <w:p w:rsidR="0033151E" w:rsidRPr="0079009D" w:rsidRDefault="00465362" w:rsidP="0033151E">
      <w:pPr>
        <w:pStyle w:val="Default"/>
        <w:rPr>
          <w:rFonts w:asciiTheme="minorHAnsi" w:hAnsiTheme="minorHAnsi"/>
          <w:sz w:val="22"/>
          <w:szCs w:val="22"/>
          <w:lang w:val="sk-SK"/>
        </w:rPr>
      </w:pPr>
      <w:r w:rsidRPr="0079009D">
        <w:rPr>
          <w:rFonts w:asciiTheme="minorHAnsi" w:hAnsiTheme="minorHAnsi"/>
          <w:sz w:val="22"/>
          <w:szCs w:val="22"/>
          <w:lang w:val="sk-SK"/>
        </w:rPr>
        <w:t>Slovensko nemá na úrovni regiónov veľkosti</w:t>
      </w:r>
      <w:r w:rsidR="007467F2" w:rsidRPr="0079009D">
        <w:rPr>
          <w:rFonts w:asciiTheme="minorHAnsi" w:hAnsiTheme="minorHAnsi"/>
          <w:sz w:val="22"/>
          <w:szCs w:val="22"/>
          <w:lang w:val="sk-SK"/>
        </w:rPr>
        <w:t xml:space="preserve"> NUTS</w:t>
      </w:r>
      <w:r w:rsidR="00BA0DCD" w:rsidRPr="0079009D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7467F2" w:rsidRPr="0079009D">
        <w:rPr>
          <w:rFonts w:asciiTheme="minorHAnsi" w:hAnsiTheme="minorHAnsi"/>
          <w:sz w:val="22"/>
          <w:szCs w:val="22"/>
          <w:lang w:val="sk-SK"/>
        </w:rPr>
        <w:t>2</w:t>
      </w:r>
      <w:r w:rsidRPr="0079009D">
        <w:rPr>
          <w:rFonts w:asciiTheme="minorHAnsi" w:hAnsiTheme="minorHAnsi"/>
          <w:sz w:val="22"/>
          <w:szCs w:val="22"/>
          <w:lang w:val="sk-SK"/>
        </w:rPr>
        <w:t xml:space="preserve"> riadiace štruktúry. Preto bola analýza realizovaná na úrovni regiónov NUTS 3. </w:t>
      </w:r>
      <w:r w:rsidR="007467F2" w:rsidRPr="0079009D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79009D">
        <w:rPr>
          <w:rFonts w:asciiTheme="minorHAnsi" w:hAnsiTheme="minorHAnsi"/>
          <w:sz w:val="22"/>
          <w:szCs w:val="22"/>
          <w:lang w:val="sk-SK"/>
        </w:rPr>
        <w:t xml:space="preserve">Z </w:t>
      </w:r>
      <w:r w:rsidR="002A384E">
        <w:rPr>
          <w:rFonts w:asciiTheme="minorHAnsi" w:hAnsiTheme="minorHAnsi"/>
          <w:sz w:val="22"/>
          <w:szCs w:val="22"/>
          <w:lang w:val="sk-SK"/>
        </w:rPr>
        <w:t>ôsmych</w:t>
      </w:r>
      <w:r w:rsidRPr="0079009D">
        <w:rPr>
          <w:rFonts w:asciiTheme="minorHAnsi" w:hAnsiTheme="minorHAnsi"/>
          <w:sz w:val="22"/>
          <w:szCs w:val="22"/>
          <w:lang w:val="sk-SK"/>
        </w:rPr>
        <w:t xml:space="preserve"> V</w:t>
      </w:r>
      <w:r w:rsidR="00FA7E2D">
        <w:rPr>
          <w:rFonts w:asciiTheme="minorHAnsi" w:hAnsiTheme="minorHAnsi"/>
          <w:sz w:val="22"/>
          <w:szCs w:val="22"/>
          <w:lang w:val="sk-SK"/>
        </w:rPr>
        <w:t>Ú</w:t>
      </w:r>
      <w:r w:rsidRPr="0079009D">
        <w:rPr>
          <w:rFonts w:asciiTheme="minorHAnsi" w:hAnsiTheme="minorHAnsi"/>
          <w:sz w:val="22"/>
          <w:szCs w:val="22"/>
          <w:lang w:val="sk-SK"/>
        </w:rPr>
        <w:t xml:space="preserve">C boli vybrané </w:t>
      </w:r>
      <w:r w:rsidR="002A384E">
        <w:rPr>
          <w:rFonts w:asciiTheme="minorHAnsi" w:hAnsiTheme="minorHAnsi"/>
          <w:sz w:val="22"/>
          <w:szCs w:val="22"/>
          <w:lang w:val="sk-SK"/>
        </w:rPr>
        <w:t>dva</w:t>
      </w:r>
      <w:r w:rsidRPr="0079009D">
        <w:rPr>
          <w:rFonts w:asciiTheme="minorHAnsi" w:hAnsiTheme="minorHAnsi"/>
          <w:sz w:val="22"/>
          <w:szCs w:val="22"/>
          <w:lang w:val="sk-SK"/>
        </w:rPr>
        <w:t xml:space="preserve"> – Bratislavský a Prešovský vyšší územný celok,</w:t>
      </w:r>
      <w:r w:rsidR="00C31641" w:rsidRPr="0079009D">
        <w:rPr>
          <w:rFonts w:asciiTheme="minorHAnsi" w:hAnsiTheme="minorHAnsi"/>
          <w:sz w:val="22"/>
          <w:szCs w:val="22"/>
          <w:lang w:val="sk-SK"/>
        </w:rPr>
        <w:t xml:space="preserve"> ako príklad dvoch výrazne odlišných východiskových pozícií: Bratislavský 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región</w:t>
      </w:r>
      <w:r w:rsidR="00C31641" w:rsidRPr="0079009D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reprezentuje</w:t>
      </w:r>
      <w:r w:rsidR="00C31641" w:rsidRPr="0079009D">
        <w:rPr>
          <w:rFonts w:asciiTheme="minorHAnsi" w:hAnsiTheme="minorHAnsi"/>
          <w:sz w:val="22"/>
          <w:szCs w:val="22"/>
          <w:lang w:val="sk-SK"/>
        </w:rPr>
        <w:t xml:space="preserve"> centrálny 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región</w:t>
      </w:r>
      <w:r w:rsidR="00C31641" w:rsidRPr="0079009D">
        <w:rPr>
          <w:rFonts w:asciiTheme="minorHAnsi" w:hAnsiTheme="minorHAnsi"/>
          <w:sz w:val="22"/>
          <w:szCs w:val="22"/>
          <w:lang w:val="sk-SK"/>
        </w:rPr>
        <w:t xml:space="preserve"> s hlavným mestom krajiny, </w:t>
      </w:r>
      <w:r w:rsidR="00AE697E" w:rsidRPr="0079009D">
        <w:rPr>
          <w:rFonts w:asciiTheme="minorHAnsi" w:hAnsiTheme="minorHAnsi"/>
          <w:sz w:val="22"/>
          <w:szCs w:val="22"/>
          <w:lang w:val="sk-SK"/>
        </w:rPr>
        <w:t>patriaci pod cieľ Konkurencieschopnosť</w:t>
      </w:r>
      <w:r w:rsidR="004E379B">
        <w:rPr>
          <w:rFonts w:asciiTheme="minorHAnsi" w:hAnsiTheme="minorHAnsi"/>
          <w:sz w:val="22"/>
          <w:szCs w:val="22"/>
          <w:lang w:val="sk-SK"/>
        </w:rPr>
        <w:t xml:space="preserve"> a zamestnanosť</w:t>
      </w:r>
      <w:r w:rsidR="00AE697E" w:rsidRPr="0079009D">
        <w:rPr>
          <w:rFonts w:asciiTheme="minorHAnsi" w:hAnsiTheme="minorHAnsi"/>
          <w:sz w:val="22"/>
          <w:szCs w:val="22"/>
          <w:lang w:val="sk-SK"/>
        </w:rPr>
        <w:t xml:space="preserve">, 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charakterizovaný</w:t>
      </w:r>
      <w:r w:rsidR="00C31641" w:rsidRPr="0079009D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AE697E" w:rsidRPr="0079009D">
        <w:rPr>
          <w:rFonts w:asciiTheme="minorHAnsi" w:hAnsiTheme="minorHAnsi"/>
          <w:sz w:val="22"/>
          <w:szCs w:val="22"/>
          <w:lang w:val="sk-SK"/>
        </w:rPr>
        <w:t>ako mestský, bohatý, priemyselný</w:t>
      </w:r>
      <w:r w:rsidR="002A384E">
        <w:rPr>
          <w:rFonts w:asciiTheme="minorHAnsi" w:hAnsiTheme="minorHAnsi"/>
          <w:sz w:val="22"/>
          <w:szCs w:val="22"/>
          <w:lang w:val="sk-SK"/>
        </w:rPr>
        <w:t xml:space="preserve">, s </w:t>
      </w:r>
      <w:r w:rsidR="00AE697E" w:rsidRPr="0079009D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2A384E">
        <w:rPr>
          <w:rFonts w:asciiTheme="minorHAnsi" w:hAnsiTheme="minorHAnsi"/>
          <w:sz w:val="22"/>
          <w:szCs w:val="22"/>
          <w:lang w:val="sk-SK"/>
        </w:rPr>
        <w:t>pomerne malou</w:t>
      </w:r>
      <w:r w:rsidR="002A384E" w:rsidRPr="0079009D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AE697E" w:rsidRPr="0079009D">
        <w:rPr>
          <w:rFonts w:asciiTheme="minorHAnsi" w:hAnsiTheme="minorHAnsi"/>
          <w:sz w:val="22"/>
          <w:szCs w:val="22"/>
          <w:lang w:val="sk-SK"/>
        </w:rPr>
        <w:t xml:space="preserve">rozlohou. Naproti tomu 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Prešovský</w:t>
      </w:r>
      <w:r w:rsidR="00AE697E" w:rsidRPr="0079009D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región</w:t>
      </w:r>
      <w:r w:rsidR="00AE697E" w:rsidRPr="0079009D">
        <w:rPr>
          <w:rFonts w:asciiTheme="minorHAnsi" w:hAnsiTheme="minorHAnsi"/>
          <w:sz w:val="22"/>
          <w:szCs w:val="22"/>
          <w:lang w:val="sk-SK"/>
        </w:rPr>
        <w:t xml:space="preserve"> je od centra najvzdialenejší, ležiaci na východe územia, charakterizovaný ako poľnohospodársky, vidiecky, spadajúci pod cieľ Konvergencia</w:t>
      </w:r>
      <w:r w:rsidR="002A384E">
        <w:rPr>
          <w:rFonts w:asciiTheme="minorHAnsi" w:hAnsiTheme="minorHAnsi"/>
          <w:sz w:val="22"/>
          <w:szCs w:val="22"/>
          <w:lang w:val="sk-SK"/>
        </w:rPr>
        <w:t>,</w:t>
      </w:r>
      <w:r w:rsidR="00AE697E" w:rsidRPr="0079009D">
        <w:rPr>
          <w:rFonts w:asciiTheme="minorHAnsi" w:hAnsiTheme="minorHAnsi"/>
          <w:sz w:val="22"/>
          <w:szCs w:val="22"/>
          <w:lang w:val="sk-SK"/>
        </w:rPr>
        <w:t xml:space="preserve"> s pomerne 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rozsiahlym</w:t>
      </w:r>
      <w:r w:rsidR="00AE697E" w:rsidRPr="0079009D">
        <w:rPr>
          <w:rFonts w:asciiTheme="minorHAnsi" w:hAnsiTheme="minorHAnsi"/>
          <w:sz w:val="22"/>
          <w:szCs w:val="22"/>
          <w:lang w:val="sk-SK"/>
        </w:rPr>
        <w:t xml:space="preserve"> územím. 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Počet</w:t>
      </w:r>
      <w:r w:rsidR="00AE697E" w:rsidRPr="0079009D">
        <w:rPr>
          <w:rFonts w:asciiTheme="minorHAnsi" w:hAnsiTheme="minorHAnsi"/>
          <w:sz w:val="22"/>
          <w:szCs w:val="22"/>
          <w:lang w:val="sk-SK"/>
        </w:rPr>
        <w:t xml:space="preserve"> obyvateľov je v oboch regiónoch porovnateľný. </w:t>
      </w:r>
    </w:p>
    <w:p w:rsidR="00861C46" w:rsidRPr="0079009D" w:rsidRDefault="00861C46" w:rsidP="0033151E">
      <w:pPr>
        <w:pStyle w:val="Default"/>
        <w:rPr>
          <w:rFonts w:asciiTheme="minorHAnsi" w:hAnsiTheme="minorHAnsi"/>
          <w:sz w:val="22"/>
          <w:szCs w:val="22"/>
          <w:lang w:val="sk-SK"/>
        </w:rPr>
      </w:pPr>
    </w:p>
    <w:p w:rsidR="007467F2" w:rsidRPr="0079009D" w:rsidRDefault="00AE697E" w:rsidP="007467F2">
      <w:pPr>
        <w:rPr>
          <w:rFonts w:asciiTheme="minorHAnsi" w:hAnsiTheme="minorHAnsi"/>
          <w:sz w:val="22"/>
          <w:szCs w:val="22"/>
          <w:lang w:val="sk-SK"/>
        </w:rPr>
      </w:pPr>
      <w:r w:rsidRPr="0079009D">
        <w:rPr>
          <w:rFonts w:asciiTheme="minorHAnsi" w:hAnsiTheme="minorHAnsi"/>
          <w:sz w:val="22"/>
          <w:szCs w:val="22"/>
          <w:lang w:val="sk-SK"/>
        </w:rPr>
        <w:t xml:space="preserve">Na Slovensku bolo od apríla do októbra 2014 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re</w:t>
      </w:r>
      <w:r w:rsidR="0079009D">
        <w:rPr>
          <w:rFonts w:asciiTheme="minorHAnsi" w:hAnsiTheme="minorHAnsi"/>
          <w:sz w:val="22"/>
          <w:szCs w:val="22"/>
          <w:lang w:val="sk-SK"/>
        </w:rPr>
        <w:t>ali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zovaných</w:t>
      </w:r>
      <w:r w:rsidRPr="0079009D">
        <w:rPr>
          <w:rFonts w:asciiTheme="minorHAnsi" w:hAnsiTheme="minorHAnsi"/>
          <w:sz w:val="22"/>
          <w:szCs w:val="22"/>
          <w:lang w:val="sk-SK"/>
        </w:rPr>
        <w:t xml:space="preserve"> 5 rozh</w:t>
      </w:r>
      <w:r w:rsidR="004C5A18" w:rsidRPr="0079009D">
        <w:rPr>
          <w:rFonts w:asciiTheme="minorHAnsi" w:hAnsiTheme="minorHAnsi"/>
          <w:sz w:val="22"/>
          <w:szCs w:val="22"/>
          <w:lang w:val="sk-SK"/>
        </w:rPr>
        <w:t>ovorov</w:t>
      </w:r>
      <w:r w:rsidR="002A384E" w:rsidRPr="002A384E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2A384E" w:rsidRPr="0079009D">
        <w:rPr>
          <w:rFonts w:asciiTheme="minorHAnsi" w:hAnsiTheme="minorHAnsi"/>
          <w:sz w:val="22"/>
          <w:szCs w:val="22"/>
          <w:lang w:val="sk-SK"/>
        </w:rPr>
        <w:t>s tvorcami politiky VD</w:t>
      </w:r>
      <w:r w:rsidR="004C5A18" w:rsidRPr="0079009D">
        <w:rPr>
          <w:rFonts w:asciiTheme="minorHAnsi" w:hAnsiTheme="minorHAnsi"/>
          <w:sz w:val="22"/>
          <w:szCs w:val="22"/>
          <w:lang w:val="sk-SK"/>
        </w:rPr>
        <w:t>. Navyše</w:t>
      </w:r>
      <w:r w:rsidR="002A384E">
        <w:rPr>
          <w:rFonts w:asciiTheme="minorHAnsi" w:hAnsiTheme="minorHAnsi"/>
          <w:sz w:val="22"/>
          <w:szCs w:val="22"/>
          <w:lang w:val="sk-SK"/>
        </w:rPr>
        <w:t>,</w:t>
      </w:r>
      <w:r w:rsidR="004C5A18" w:rsidRPr="0079009D">
        <w:rPr>
          <w:rFonts w:asciiTheme="minorHAnsi" w:hAnsiTheme="minorHAnsi"/>
          <w:sz w:val="22"/>
          <w:szCs w:val="22"/>
          <w:lang w:val="sk-SK"/>
        </w:rPr>
        <w:t xml:space="preserve"> ako príprava na rozhovory a tiež v záujem vytvorenia reálneho obrazu politiky VD</w:t>
      </w:r>
      <w:r w:rsidR="002A384E">
        <w:rPr>
          <w:rFonts w:asciiTheme="minorHAnsi" w:hAnsiTheme="minorHAnsi"/>
          <w:sz w:val="22"/>
          <w:szCs w:val="22"/>
          <w:lang w:val="sk-SK"/>
        </w:rPr>
        <w:t>,</w:t>
      </w:r>
      <w:r w:rsidR="004C5A18" w:rsidRPr="0079009D">
        <w:rPr>
          <w:rFonts w:asciiTheme="minorHAnsi" w:hAnsiTheme="minorHAnsi"/>
          <w:sz w:val="22"/>
          <w:szCs w:val="22"/>
          <w:lang w:val="sk-SK"/>
        </w:rPr>
        <w:t xml:space="preserve"> bolo vyhľadané a </w:t>
      </w:r>
      <w:r w:rsidRPr="0079009D">
        <w:rPr>
          <w:rFonts w:asciiTheme="minorHAnsi" w:hAnsiTheme="minorHAnsi"/>
          <w:sz w:val="22"/>
          <w:szCs w:val="22"/>
          <w:lang w:val="sk-SK"/>
        </w:rPr>
        <w:t xml:space="preserve"> preštudovan</w:t>
      </w:r>
      <w:r w:rsidR="004C5A18" w:rsidRPr="0079009D">
        <w:rPr>
          <w:rFonts w:asciiTheme="minorHAnsi" w:hAnsiTheme="minorHAnsi"/>
          <w:sz w:val="22"/>
          <w:szCs w:val="22"/>
          <w:lang w:val="sk-SK"/>
        </w:rPr>
        <w:t xml:space="preserve">é množstvo dokumentov súvisiacich s touto problematikou. </w:t>
      </w:r>
    </w:p>
    <w:p w:rsidR="004C5A18" w:rsidRPr="0079009D" w:rsidRDefault="004C5A18" w:rsidP="007467F2">
      <w:pPr>
        <w:rPr>
          <w:rFonts w:asciiTheme="minorHAnsi" w:hAnsiTheme="minorHAnsi"/>
          <w:sz w:val="22"/>
          <w:szCs w:val="22"/>
          <w:lang w:val="sk-SK"/>
        </w:rPr>
      </w:pPr>
    </w:p>
    <w:p w:rsidR="007467F2" w:rsidRPr="0079009D" w:rsidRDefault="004C5A18" w:rsidP="007467F2">
      <w:pPr>
        <w:rPr>
          <w:lang w:val="sk-SK"/>
        </w:rPr>
      </w:pPr>
      <w:r w:rsidRPr="0079009D">
        <w:rPr>
          <w:rFonts w:asciiTheme="minorHAnsi" w:hAnsiTheme="minorHAnsi"/>
          <w:sz w:val="22"/>
          <w:szCs w:val="22"/>
          <w:lang w:val="sk-SK"/>
        </w:rPr>
        <w:t xml:space="preserve">Proces 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decentralizác</w:t>
      </w:r>
      <w:r w:rsidR="0079009D">
        <w:rPr>
          <w:rFonts w:asciiTheme="minorHAnsi" w:hAnsiTheme="minorHAnsi"/>
          <w:sz w:val="22"/>
          <w:szCs w:val="22"/>
          <w:lang w:val="sk-SK"/>
        </w:rPr>
        <w:t xml:space="preserve">ie 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bol</w:t>
      </w:r>
      <w:r w:rsidRPr="0079009D">
        <w:rPr>
          <w:rFonts w:asciiTheme="minorHAnsi" w:hAnsiTheme="minorHAnsi"/>
          <w:sz w:val="22"/>
          <w:szCs w:val="22"/>
          <w:lang w:val="sk-SK"/>
        </w:rPr>
        <w:t xml:space="preserve"> na Slovensku ukončený len nedávno a niektoré politiky neboli ešte spracované na regionálnej úrovni. Vychádzajúc z prieskumu, </w:t>
      </w:r>
      <w:r w:rsidR="004E379B">
        <w:rPr>
          <w:rFonts w:asciiTheme="minorHAnsi" w:hAnsiTheme="minorHAnsi"/>
          <w:sz w:val="22"/>
          <w:szCs w:val="22"/>
          <w:lang w:val="sk-SK"/>
        </w:rPr>
        <w:t xml:space="preserve">aj </w:t>
      </w:r>
      <w:r w:rsidRPr="0079009D">
        <w:rPr>
          <w:rFonts w:asciiTheme="minorHAnsi" w:hAnsiTheme="minorHAnsi"/>
          <w:sz w:val="22"/>
          <w:szCs w:val="22"/>
          <w:lang w:val="sk-SK"/>
        </w:rPr>
        <w:t xml:space="preserve">politika </w:t>
      </w:r>
      <w:r w:rsidR="00FA7E2D">
        <w:rPr>
          <w:rFonts w:asciiTheme="minorHAnsi" w:hAnsiTheme="minorHAnsi"/>
          <w:sz w:val="22"/>
          <w:szCs w:val="22"/>
          <w:lang w:val="sk-SK"/>
        </w:rPr>
        <w:t>v</w:t>
      </w:r>
      <w:r w:rsidRPr="0079009D">
        <w:rPr>
          <w:rFonts w:asciiTheme="minorHAnsi" w:hAnsiTheme="minorHAnsi"/>
          <w:sz w:val="22"/>
          <w:szCs w:val="22"/>
          <w:lang w:val="sk-SK"/>
        </w:rPr>
        <w:t xml:space="preserve">zdelávania dospelých patrí medzi </w:t>
      </w:r>
      <w:r w:rsidR="004E379B">
        <w:rPr>
          <w:rFonts w:asciiTheme="minorHAnsi" w:hAnsiTheme="minorHAnsi"/>
          <w:sz w:val="22"/>
          <w:szCs w:val="22"/>
          <w:lang w:val="sk-SK"/>
        </w:rPr>
        <w:t>ne</w:t>
      </w:r>
      <w:r w:rsidRPr="0079009D">
        <w:rPr>
          <w:rFonts w:asciiTheme="minorHAnsi" w:hAnsiTheme="minorHAnsi"/>
          <w:sz w:val="22"/>
          <w:szCs w:val="22"/>
          <w:lang w:val="sk-SK"/>
        </w:rPr>
        <w:t>.  Tvorba  politiky VD prebieha zatiaľ na centrálnej úrovni</w:t>
      </w:r>
      <w:r w:rsidR="004E379B">
        <w:rPr>
          <w:rFonts w:asciiTheme="minorHAnsi" w:hAnsiTheme="minorHAnsi"/>
          <w:sz w:val="22"/>
          <w:szCs w:val="22"/>
          <w:lang w:val="sk-SK"/>
        </w:rPr>
        <w:t>,</w:t>
      </w:r>
      <w:r w:rsidRPr="0079009D">
        <w:rPr>
          <w:rFonts w:asciiTheme="minorHAnsi" w:hAnsiTheme="minorHAnsi"/>
          <w:sz w:val="22"/>
          <w:szCs w:val="22"/>
          <w:lang w:val="sk-SK"/>
        </w:rPr>
        <w:t xml:space="preserve"> rovnako </w:t>
      </w:r>
      <w:r w:rsidR="002A384E">
        <w:rPr>
          <w:rFonts w:asciiTheme="minorHAnsi" w:hAnsiTheme="minorHAnsi"/>
          <w:sz w:val="22"/>
          <w:szCs w:val="22"/>
          <w:lang w:val="sk-SK"/>
        </w:rPr>
        <w:t xml:space="preserve">aj </w:t>
      </w:r>
      <w:r w:rsidRPr="0079009D">
        <w:rPr>
          <w:rFonts w:asciiTheme="minorHAnsi" w:hAnsiTheme="minorHAnsi"/>
          <w:sz w:val="22"/>
          <w:szCs w:val="22"/>
          <w:lang w:val="sk-SK"/>
        </w:rPr>
        <w:t xml:space="preserve"> jej implementácia má tendenciu byť vykonávaná </w:t>
      </w:r>
      <w:r w:rsidR="0079009D">
        <w:rPr>
          <w:rFonts w:asciiTheme="minorHAnsi" w:hAnsiTheme="minorHAnsi"/>
          <w:sz w:val="22"/>
          <w:szCs w:val="22"/>
          <w:lang w:val="sk-SK"/>
        </w:rPr>
        <w:t>c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entrálne</w:t>
      </w:r>
      <w:r w:rsidRPr="0079009D">
        <w:rPr>
          <w:rFonts w:asciiTheme="minorHAnsi" w:hAnsiTheme="minorHAnsi"/>
          <w:sz w:val="22"/>
          <w:szCs w:val="22"/>
          <w:lang w:val="sk-SK"/>
        </w:rPr>
        <w:t xml:space="preserve">.  Na regionálnej úrovni je </w:t>
      </w:r>
      <w:r w:rsidR="004E379B">
        <w:rPr>
          <w:rFonts w:asciiTheme="minorHAnsi" w:hAnsiTheme="minorHAnsi"/>
          <w:sz w:val="22"/>
          <w:szCs w:val="22"/>
          <w:lang w:val="sk-SK"/>
        </w:rPr>
        <w:t>VD</w:t>
      </w:r>
      <w:r w:rsidRPr="0079009D">
        <w:rPr>
          <w:rFonts w:asciiTheme="minorHAnsi" w:hAnsiTheme="minorHAnsi"/>
          <w:sz w:val="22"/>
          <w:szCs w:val="22"/>
          <w:lang w:val="sk-SK"/>
        </w:rPr>
        <w:t xml:space="preserve"> čiastočne </w:t>
      </w:r>
      <w:r w:rsidR="00474E85" w:rsidRPr="0079009D">
        <w:rPr>
          <w:rFonts w:asciiTheme="minorHAnsi" w:hAnsiTheme="minorHAnsi"/>
          <w:sz w:val="22"/>
          <w:szCs w:val="22"/>
          <w:lang w:val="sk-SK"/>
        </w:rPr>
        <w:t xml:space="preserve">prepojená s plánovaním a alokovaním štrukturálnych fondov, najmä ako nástroj 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znižovania</w:t>
      </w:r>
      <w:r w:rsidR="00474E85" w:rsidRPr="0079009D">
        <w:rPr>
          <w:rFonts w:asciiTheme="minorHAnsi" w:hAnsiTheme="minorHAnsi"/>
          <w:sz w:val="22"/>
          <w:szCs w:val="22"/>
          <w:lang w:val="sk-SK"/>
        </w:rPr>
        <w:t xml:space="preserve"> miery </w:t>
      </w:r>
      <w:r w:rsidR="0079009D" w:rsidRPr="0079009D">
        <w:rPr>
          <w:rFonts w:asciiTheme="minorHAnsi" w:hAnsiTheme="minorHAnsi"/>
          <w:sz w:val="22"/>
          <w:szCs w:val="22"/>
          <w:lang w:val="sk-SK"/>
        </w:rPr>
        <w:t>nezamestnanosti</w:t>
      </w:r>
      <w:r w:rsidR="00474E85" w:rsidRPr="0079009D">
        <w:rPr>
          <w:rFonts w:asciiTheme="minorHAnsi" w:hAnsiTheme="minorHAnsi"/>
          <w:sz w:val="22"/>
          <w:szCs w:val="22"/>
          <w:lang w:val="sk-SK"/>
        </w:rPr>
        <w:t xml:space="preserve"> pomocou (“rekvalifikačných</w:t>
      </w:r>
      <w:r w:rsidR="002A384E">
        <w:rPr>
          <w:rFonts w:asciiTheme="minorHAnsi" w:hAnsiTheme="minorHAnsi"/>
          <w:sz w:val="22"/>
          <w:szCs w:val="22"/>
          <w:lang w:val="sk-SK"/>
        </w:rPr>
        <w:t>“</w:t>
      </w:r>
      <w:r w:rsidR="00474E85" w:rsidRPr="0079009D">
        <w:rPr>
          <w:rFonts w:asciiTheme="minorHAnsi" w:hAnsiTheme="minorHAnsi"/>
          <w:sz w:val="22"/>
          <w:szCs w:val="22"/>
          <w:lang w:val="sk-SK"/>
        </w:rPr>
        <w:t xml:space="preserve">) tréningov. </w:t>
      </w:r>
    </w:p>
    <w:p w:rsidR="007467F2" w:rsidRPr="0079009D" w:rsidRDefault="007467F2" w:rsidP="007467F2">
      <w:pPr>
        <w:rPr>
          <w:lang w:val="sk-SK"/>
        </w:rPr>
      </w:pPr>
    </w:p>
    <w:p w:rsidR="007467F2" w:rsidRPr="0079009D" w:rsidRDefault="007467F2" w:rsidP="007467F2">
      <w:pPr>
        <w:rPr>
          <w:lang w:val="sk-SK"/>
        </w:rPr>
      </w:pPr>
    </w:p>
    <w:p w:rsidR="007467F2" w:rsidRPr="0079009D" w:rsidRDefault="007467F2" w:rsidP="007467F2">
      <w:pPr>
        <w:rPr>
          <w:lang w:val="sk-SK"/>
        </w:rPr>
      </w:pPr>
    </w:p>
    <w:p w:rsidR="007467F2" w:rsidRPr="0079009D" w:rsidRDefault="007467F2" w:rsidP="007467F2">
      <w:pPr>
        <w:rPr>
          <w:lang w:val="sk-SK"/>
        </w:rPr>
      </w:pPr>
    </w:p>
    <w:p w:rsidR="007467F2" w:rsidRPr="0079009D" w:rsidRDefault="007467F2" w:rsidP="007467F2">
      <w:pPr>
        <w:rPr>
          <w:lang w:val="sk-SK"/>
        </w:rPr>
      </w:pPr>
    </w:p>
    <w:p w:rsidR="00D31F73" w:rsidRPr="0079009D" w:rsidRDefault="007467F2">
      <w:pPr>
        <w:rPr>
          <w:rFonts w:asciiTheme="minorHAnsi" w:eastAsiaTheme="majorEastAsia" w:hAnsiTheme="minorHAnsi" w:cstheme="majorBidi"/>
          <w:b/>
          <w:bCs/>
          <w:iCs/>
          <w:color w:val="1F497D" w:themeColor="text2"/>
          <w:sz w:val="22"/>
          <w:szCs w:val="22"/>
          <w:lang w:val="sk-SK"/>
        </w:rPr>
      </w:pPr>
      <w:r w:rsidRPr="0079009D">
        <w:rPr>
          <w:rFonts w:asciiTheme="minorHAnsi" w:eastAsiaTheme="majorEastAsia" w:hAnsiTheme="minorHAnsi" w:cstheme="majorBidi"/>
          <w:b/>
          <w:bCs/>
          <w:iCs/>
          <w:color w:val="1F497D" w:themeColor="text2"/>
          <w:sz w:val="22"/>
          <w:szCs w:val="22"/>
          <w:lang w:val="sk-SK"/>
        </w:rPr>
        <w:t xml:space="preserve"> </w:t>
      </w:r>
    </w:p>
    <w:p w:rsidR="00BA0DCD" w:rsidRPr="0079009D" w:rsidRDefault="00BA0DCD">
      <w:pPr>
        <w:rPr>
          <w:rFonts w:asciiTheme="minorHAnsi" w:eastAsiaTheme="majorEastAsia" w:hAnsiTheme="minorHAnsi" w:cstheme="majorBidi"/>
          <w:b/>
          <w:bCs/>
          <w:iCs/>
          <w:color w:val="1F497D" w:themeColor="text2"/>
          <w:sz w:val="22"/>
          <w:szCs w:val="22"/>
          <w:lang w:val="sk-SK"/>
        </w:rPr>
      </w:pPr>
      <w:r w:rsidRPr="0079009D">
        <w:rPr>
          <w:lang w:val="sk-SK"/>
        </w:rPr>
        <w:br w:type="page"/>
      </w:r>
    </w:p>
    <w:p w:rsidR="00302D74" w:rsidRPr="0079009D" w:rsidRDefault="00474E85" w:rsidP="00302D74">
      <w:pPr>
        <w:pStyle w:val="Nadpis2"/>
        <w:rPr>
          <w:lang w:val="sk-SK"/>
        </w:rPr>
      </w:pPr>
      <w:bookmarkStart w:id="1" w:name="_Toc421866795"/>
      <w:r w:rsidRPr="0079009D">
        <w:rPr>
          <w:lang w:val="sk-SK"/>
        </w:rPr>
        <w:lastRenderedPageBreak/>
        <w:t>Úvod</w:t>
      </w:r>
      <w:r w:rsidR="00302D74" w:rsidRPr="0079009D">
        <w:rPr>
          <w:lang w:val="sk-SK"/>
        </w:rPr>
        <w:t xml:space="preserve">: </w:t>
      </w:r>
      <w:r w:rsidRPr="0079009D">
        <w:rPr>
          <w:lang w:val="sk-SK"/>
        </w:rPr>
        <w:t xml:space="preserve">Projekt </w:t>
      </w:r>
      <w:r w:rsidR="00302D74" w:rsidRPr="0079009D">
        <w:rPr>
          <w:lang w:val="sk-SK"/>
        </w:rPr>
        <w:t xml:space="preserve">REGIONAL </w:t>
      </w:r>
      <w:r w:rsidRPr="0079009D">
        <w:rPr>
          <w:lang w:val="sk-SK"/>
        </w:rPr>
        <w:t>a</w:t>
      </w:r>
      <w:r w:rsidR="00302D74" w:rsidRPr="0079009D">
        <w:rPr>
          <w:lang w:val="sk-SK"/>
        </w:rPr>
        <w:t xml:space="preserve"> </w:t>
      </w:r>
      <w:r w:rsidR="00BA0DCD" w:rsidRPr="0079009D">
        <w:rPr>
          <w:lang w:val="sk-SK"/>
        </w:rPr>
        <w:t>Slov</w:t>
      </w:r>
      <w:r w:rsidRPr="0079009D">
        <w:rPr>
          <w:lang w:val="sk-SK"/>
        </w:rPr>
        <w:t>ensko</w:t>
      </w:r>
      <w:bookmarkEnd w:id="1"/>
    </w:p>
    <w:p w:rsidR="00861C46" w:rsidRPr="0079009D" w:rsidRDefault="00861C46">
      <w:pPr>
        <w:rPr>
          <w:rFonts w:asciiTheme="minorHAnsi" w:hAnsiTheme="minorHAnsi"/>
          <w:sz w:val="22"/>
          <w:lang w:val="sk-SK"/>
        </w:rPr>
      </w:pPr>
    </w:p>
    <w:p w:rsidR="00AB51A5" w:rsidRPr="0079009D" w:rsidRDefault="0051706C" w:rsidP="00861C46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 xml:space="preserve">Hlavným motívom projektu </w:t>
      </w:r>
      <w:r w:rsidRPr="0079009D">
        <w:rPr>
          <w:rFonts w:asciiTheme="minorHAnsi" w:hAnsiTheme="minorHAnsi"/>
          <w:i/>
          <w:sz w:val="22"/>
          <w:lang w:val="sk-SK"/>
        </w:rPr>
        <w:t xml:space="preserve">Porovnávacia analýza regionálnych politík vzdelávania </w:t>
      </w:r>
      <w:r w:rsidR="0079009D" w:rsidRPr="0079009D">
        <w:rPr>
          <w:rFonts w:asciiTheme="minorHAnsi" w:hAnsiTheme="minorHAnsi"/>
          <w:i/>
          <w:sz w:val="22"/>
          <w:lang w:val="sk-SK"/>
        </w:rPr>
        <w:t>dospelých</w:t>
      </w:r>
      <w:r w:rsidRPr="0079009D">
        <w:rPr>
          <w:rFonts w:asciiTheme="minorHAnsi" w:hAnsiTheme="minorHAnsi"/>
          <w:i/>
          <w:sz w:val="22"/>
          <w:lang w:val="sk-SK"/>
        </w:rPr>
        <w:t xml:space="preserve"> (REGIONAL)</w:t>
      </w:r>
      <w:r w:rsidR="00FA7E2D">
        <w:rPr>
          <w:rFonts w:asciiTheme="minorHAnsi" w:hAnsiTheme="minorHAnsi"/>
          <w:i/>
          <w:sz w:val="22"/>
          <w:lang w:val="sk-SK"/>
        </w:rPr>
        <w:t xml:space="preserve"> </w:t>
      </w:r>
      <w:r w:rsidRPr="0079009D">
        <w:rPr>
          <w:rFonts w:asciiTheme="minorHAnsi" w:hAnsiTheme="minorHAnsi"/>
          <w:i/>
          <w:sz w:val="22"/>
          <w:lang w:val="sk-SK"/>
        </w:rPr>
        <w:t xml:space="preserve"> </w:t>
      </w:r>
      <w:r w:rsidRPr="0079009D">
        <w:rPr>
          <w:rFonts w:asciiTheme="minorHAnsi" w:hAnsiTheme="minorHAnsi"/>
          <w:sz w:val="22"/>
          <w:lang w:val="sk-SK"/>
        </w:rPr>
        <w:t>je potreba roz</w:t>
      </w:r>
      <w:r w:rsidR="00D86D68" w:rsidRPr="0079009D">
        <w:rPr>
          <w:rFonts w:asciiTheme="minorHAnsi" w:hAnsiTheme="minorHAnsi"/>
          <w:sz w:val="22"/>
          <w:lang w:val="sk-SK"/>
        </w:rPr>
        <w:t>po</w:t>
      </w:r>
      <w:r w:rsidRPr="0079009D">
        <w:rPr>
          <w:rFonts w:asciiTheme="minorHAnsi" w:hAnsiTheme="minorHAnsi"/>
          <w:sz w:val="22"/>
          <w:lang w:val="sk-SK"/>
        </w:rPr>
        <w:t xml:space="preserve">znať </w:t>
      </w:r>
      <w:r w:rsidRPr="0079009D">
        <w:rPr>
          <w:rFonts w:asciiTheme="minorHAnsi" w:hAnsiTheme="minorHAnsi"/>
          <w:i/>
          <w:sz w:val="22"/>
          <w:lang w:val="sk-SK"/>
        </w:rPr>
        <w:t xml:space="preserve"> </w:t>
      </w:r>
      <w:r w:rsidRPr="0079009D">
        <w:rPr>
          <w:rFonts w:asciiTheme="minorHAnsi" w:hAnsiTheme="minorHAnsi"/>
          <w:sz w:val="22"/>
          <w:lang w:val="sk-SK"/>
        </w:rPr>
        <w:t>a využiť kľúčové faktory, ktoré vplývajú na vzdelávani</w:t>
      </w:r>
      <w:r w:rsidR="004E379B">
        <w:rPr>
          <w:rFonts w:asciiTheme="minorHAnsi" w:hAnsiTheme="minorHAnsi"/>
          <w:sz w:val="22"/>
          <w:lang w:val="sk-SK"/>
        </w:rPr>
        <w:t>e</w:t>
      </w:r>
      <w:r w:rsidRPr="0079009D">
        <w:rPr>
          <w:rFonts w:asciiTheme="minorHAnsi" w:hAnsiTheme="minorHAnsi"/>
          <w:sz w:val="22"/>
          <w:lang w:val="sk-SK"/>
        </w:rPr>
        <w:t xml:space="preserve"> dospelých</w:t>
      </w:r>
      <w:r w:rsidR="00D2588F" w:rsidRPr="0079009D">
        <w:rPr>
          <w:rFonts w:asciiTheme="minorHAnsi" w:hAnsiTheme="minorHAnsi"/>
          <w:sz w:val="22"/>
          <w:lang w:val="sk-SK"/>
        </w:rPr>
        <w:t xml:space="preserve"> (VD)</w:t>
      </w:r>
      <w:r w:rsidRPr="0079009D">
        <w:rPr>
          <w:rFonts w:asciiTheme="minorHAnsi" w:hAnsiTheme="minorHAnsi"/>
          <w:sz w:val="22"/>
          <w:lang w:val="sk-SK"/>
        </w:rPr>
        <w:t>. Projekt sleduje</w:t>
      </w:r>
      <w:r w:rsidR="00AB51A5" w:rsidRPr="0079009D">
        <w:rPr>
          <w:rFonts w:asciiTheme="minorHAnsi" w:hAnsiTheme="minorHAnsi"/>
          <w:sz w:val="22"/>
          <w:lang w:val="sk-SK"/>
        </w:rPr>
        <w:t xml:space="preserve"> tr</w:t>
      </w:r>
      <w:r w:rsidR="00FA7E2D">
        <w:rPr>
          <w:rFonts w:asciiTheme="minorHAnsi" w:hAnsiTheme="minorHAnsi"/>
          <w:sz w:val="22"/>
          <w:lang w:val="sk-SK"/>
        </w:rPr>
        <w:t>i</w:t>
      </w:r>
      <w:r w:rsidR="00AB51A5" w:rsidRPr="0079009D">
        <w:rPr>
          <w:rFonts w:asciiTheme="minorHAnsi" w:hAnsiTheme="minorHAnsi"/>
          <w:sz w:val="22"/>
          <w:lang w:val="sk-SK"/>
        </w:rPr>
        <w:t xml:space="preserve"> odlišn</w:t>
      </w:r>
      <w:r w:rsidR="00FA7E2D">
        <w:rPr>
          <w:rFonts w:asciiTheme="minorHAnsi" w:hAnsiTheme="minorHAnsi"/>
          <w:sz w:val="22"/>
          <w:lang w:val="sk-SK"/>
        </w:rPr>
        <w:t>é</w:t>
      </w:r>
      <w:r w:rsidR="00AB51A5" w:rsidRPr="0079009D">
        <w:rPr>
          <w:rFonts w:asciiTheme="minorHAnsi" w:hAnsiTheme="minorHAnsi"/>
          <w:sz w:val="22"/>
          <w:lang w:val="sk-SK"/>
        </w:rPr>
        <w:t xml:space="preserve"> </w:t>
      </w:r>
      <w:r w:rsidR="00D86D68" w:rsidRPr="0079009D">
        <w:rPr>
          <w:rFonts w:asciiTheme="minorHAnsi" w:hAnsiTheme="minorHAnsi"/>
          <w:sz w:val="22"/>
          <w:lang w:val="sk-SK"/>
        </w:rPr>
        <w:t>úrovn</w:t>
      </w:r>
      <w:r w:rsidR="00FA7E2D">
        <w:rPr>
          <w:rFonts w:asciiTheme="minorHAnsi" w:hAnsiTheme="minorHAnsi"/>
          <w:sz w:val="22"/>
          <w:lang w:val="sk-SK"/>
        </w:rPr>
        <w:t>e</w:t>
      </w:r>
      <w:r w:rsidR="00AB51A5" w:rsidRPr="0079009D">
        <w:rPr>
          <w:rFonts w:asciiTheme="minorHAnsi" w:hAnsiTheme="minorHAnsi"/>
          <w:sz w:val="22"/>
          <w:lang w:val="sk-SK"/>
        </w:rPr>
        <w:t xml:space="preserve">: V prvom </w:t>
      </w:r>
      <w:r w:rsidR="00D86D68" w:rsidRPr="0079009D">
        <w:rPr>
          <w:rFonts w:asciiTheme="minorHAnsi" w:hAnsiTheme="minorHAnsi"/>
          <w:sz w:val="22"/>
          <w:lang w:val="sk-SK"/>
        </w:rPr>
        <w:t>pláne</w:t>
      </w:r>
      <w:r w:rsidR="00AB51A5" w:rsidRPr="0079009D">
        <w:rPr>
          <w:rFonts w:asciiTheme="minorHAnsi" w:hAnsiTheme="minorHAnsi"/>
          <w:sz w:val="22"/>
          <w:lang w:val="sk-SK"/>
        </w:rPr>
        <w:t xml:space="preserve"> sa </w:t>
      </w:r>
      <w:r w:rsidR="0079009D" w:rsidRPr="0079009D">
        <w:rPr>
          <w:rFonts w:asciiTheme="minorHAnsi" w:hAnsiTheme="minorHAnsi"/>
          <w:sz w:val="22"/>
          <w:lang w:val="sk-SK"/>
        </w:rPr>
        <w:t>snaží</w:t>
      </w:r>
      <w:r w:rsidR="00AB51A5" w:rsidRPr="0079009D">
        <w:rPr>
          <w:rFonts w:asciiTheme="minorHAnsi" w:hAnsiTheme="minorHAnsi"/>
          <w:sz w:val="22"/>
          <w:lang w:val="sk-SK"/>
        </w:rPr>
        <w:t xml:space="preserve"> preniknúť č</w:t>
      </w:r>
      <w:r w:rsidR="00FA7E2D">
        <w:rPr>
          <w:rFonts w:asciiTheme="minorHAnsi" w:hAnsiTheme="minorHAnsi"/>
          <w:sz w:val="22"/>
          <w:lang w:val="sk-SK"/>
        </w:rPr>
        <w:t>o naj</w:t>
      </w:r>
      <w:r w:rsidR="00AB51A5" w:rsidRPr="0079009D">
        <w:rPr>
          <w:rFonts w:asciiTheme="minorHAnsi" w:hAnsiTheme="minorHAnsi"/>
          <w:sz w:val="22"/>
          <w:lang w:val="sk-SK"/>
        </w:rPr>
        <w:t>hlbšie do procesov tvorby tejto politiky</w:t>
      </w:r>
      <w:r w:rsidR="00FA7E2D">
        <w:rPr>
          <w:rFonts w:asciiTheme="minorHAnsi" w:hAnsiTheme="minorHAnsi"/>
          <w:sz w:val="22"/>
          <w:lang w:val="sk-SK"/>
        </w:rPr>
        <w:t>,</w:t>
      </w:r>
      <w:r w:rsidR="00AB51A5" w:rsidRPr="0079009D">
        <w:rPr>
          <w:rFonts w:asciiTheme="minorHAnsi" w:hAnsiTheme="minorHAnsi"/>
          <w:sz w:val="22"/>
          <w:lang w:val="sk-SK"/>
        </w:rPr>
        <w:t xml:space="preserve"> a tak identifikovať odlišnosti  v Európe</w:t>
      </w:r>
      <w:r w:rsidR="00FA7E2D">
        <w:rPr>
          <w:rFonts w:asciiTheme="minorHAnsi" w:hAnsiTheme="minorHAnsi"/>
          <w:sz w:val="22"/>
          <w:lang w:val="sk-SK"/>
        </w:rPr>
        <w:t xml:space="preserve">. </w:t>
      </w:r>
      <w:r w:rsidR="00A71779">
        <w:rPr>
          <w:rFonts w:asciiTheme="minorHAnsi" w:hAnsiTheme="minorHAnsi"/>
          <w:sz w:val="22"/>
          <w:lang w:val="sk-SK"/>
        </w:rPr>
        <w:t xml:space="preserve">V </w:t>
      </w:r>
      <w:r w:rsidR="00FA7E2D">
        <w:rPr>
          <w:rFonts w:asciiTheme="minorHAnsi" w:hAnsiTheme="minorHAnsi"/>
          <w:sz w:val="22"/>
          <w:lang w:val="sk-SK"/>
        </w:rPr>
        <w:t>druh</w:t>
      </w:r>
      <w:r w:rsidR="00A71779">
        <w:rPr>
          <w:rFonts w:asciiTheme="minorHAnsi" w:hAnsiTheme="minorHAnsi"/>
          <w:sz w:val="22"/>
          <w:lang w:val="sk-SK"/>
        </w:rPr>
        <w:t>ej rovine by tieto poznatky</w:t>
      </w:r>
      <w:r w:rsidR="00AB51A5" w:rsidRPr="0079009D">
        <w:rPr>
          <w:rFonts w:asciiTheme="minorHAnsi" w:hAnsiTheme="minorHAnsi"/>
          <w:sz w:val="22"/>
          <w:lang w:val="sk-SK"/>
        </w:rPr>
        <w:t xml:space="preserve"> m</w:t>
      </w:r>
      <w:r w:rsidR="00A71779">
        <w:rPr>
          <w:rFonts w:asciiTheme="minorHAnsi" w:hAnsiTheme="minorHAnsi"/>
          <w:sz w:val="22"/>
          <w:lang w:val="sk-SK"/>
        </w:rPr>
        <w:t xml:space="preserve">ohli </w:t>
      </w:r>
      <w:r w:rsidR="00AB51A5" w:rsidRPr="0079009D">
        <w:rPr>
          <w:rFonts w:asciiTheme="minorHAnsi" w:hAnsiTheme="minorHAnsi"/>
          <w:sz w:val="22"/>
          <w:lang w:val="sk-SK"/>
        </w:rPr>
        <w:t xml:space="preserve"> zlepšiť efekt</w:t>
      </w:r>
      <w:r w:rsidR="00A71779">
        <w:rPr>
          <w:rFonts w:asciiTheme="minorHAnsi" w:hAnsiTheme="minorHAnsi"/>
          <w:sz w:val="22"/>
          <w:lang w:val="sk-SK"/>
        </w:rPr>
        <w:t xml:space="preserve">ívnosť </w:t>
      </w:r>
      <w:r w:rsidR="00AB51A5" w:rsidRPr="0079009D">
        <w:rPr>
          <w:rFonts w:asciiTheme="minorHAnsi" w:hAnsiTheme="minorHAnsi"/>
          <w:sz w:val="22"/>
          <w:lang w:val="sk-SK"/>
        </w:rPr>
        <w:t>a celkov</w:t>
      </w:r>
      <w:r w:rsidR="00D86D68" w:rsidRPr="0079009D">
        <w:rPr>
          <w:rFonts w:asciiTheme="minorHAnsi" w:hAnsiTheme="minorHAnsi"/>
          <w:sz w:val="22"/>
          <w:lang w:val="sk-SK"/>
        </w:rPr>
        <w:t>é</w:t>
      </w:r>
      <w:r w:rsidR="00AB51A5" w:rsidRPr="0079009D">
        <w:rPr>
          <w:rFonts w:asciiTheme="minorHAnsi" w:hAnsiTheme="minorHAnsi"/>
          <w:sz w:val="22"/>
          <w:lang w:val="sk-SK"/>
        </w:rPr>
        <w:t xml:space="preserve"> dopad</w:t>
      </w:r>
      <w:r w:rsidR="00D86D68" w:rsidRPr="0079009D">
        <w:rPr>
          <w:rFonts w:asciiTheme="minorHAnsi" w:hAnsiTheme="minorHAnsi"/>
          <w:sz w:val="22"/>
          <w:lang w:val="sk-SK"/>
        </w:rPr>
        <w:t>y</w:t>
      </w:r>
      <w:r w:rsidR="00AB51A5" w:rsidRPr="0079009D">
        <w:rPr>
          <w:rFonts w:asciiTheme="minorHAnsi" w:hAnsiTheme="minorHAnsi"/>
          <w:sz w:val="22"/>
          <w:lang w:val="sk-SK"/>
        </w:rPr>
        <w:t xml:space="preserve"> politiky</w:t>
      </w:r>
      <w:r w:rsidR="00D2588F" w:rsidRPr="0079009D">
        <w:rPr>
          <w:rFonts w:asciiTheme="minorHAnsi" w:hAnsiTheme="minorHAnsi"/>
          <w:sz w:val="22"/>
          <w:lang w:val="sk-SK"/>
        </w:rPr>
        <w:t xml:space="preserve"> VD</w:t>
      </w:r>
      <w:r w:rsidR="00AB51A5" w:rsidRPr="0079009D">
        <w:rPr>
          <w:rFonts w:asciiTheme="minorHAnsi" w:hAnsiTheme="minorHAnsi"/>
          <w:sz w:val="22"/>
          <w:lang w:val="sk-SK"/>
        </w:rPr>
        <w:t xml:space="preserve"> a v tre</w:t>
      </w:r>
      <w:r w:rsidR="00D86D68" w:rsidRPr="0079009D">
        <w:rPr>
          <w:rFonts w:asciiTheme="minorHAnsi" w:hAnsiTheme="minorHAnsi"/>
          <w:sz w:val="22"/>
          <w:lang w:val="sk-SK"/>
        </w:rPr>
        <w:t xml:space="preserve">tej rovine je cieľom projektu </w:t>
      </w:r>
      <w:r w:rsidR="00A71779">
        <w:rPr>
          <w:rFonts w:asciiTheme="minorHAnsi" w:hAnsiTheme="minorHAnsi"/>
          <w:sz w:val="22"/>
          <w:lang w:val="sk-SK"/>
        </w:rPr>
        <w:t>prispieť k</w:t>
      </w:r>
      <w:r w:rsidR="00D86D68" w:rsidRPr="0079009D">
        <w:rPr>
          <w:rFonts w:asciiTheme="minorHAnsi" w:hAnsiTheme="minorHAnsi"/>
          <w:sz w:val="22"/>
          <w:lang w:val="sk-SK"/>
        </w:rPr>
        <w:t xml:space="preserve"> zmenšova</w:t>
      </w:r>
      <w:r w:rsidR="00A71779">
        <w:rPr>
          <w:rFonts w:asciiTheme="minorHAnsi" w:hAnsiTheme="minorHAnsi"/>
          <w:sz w:val="22"/>
          <w:lang w:val="sk-SK"/>
        </w:rPr>
        <w:t>niu územných</w:t>
      </w:r>
      <w:r w:rsidR="00D86D68" w:rsidRPr="0079009D">
        <w:rPr>
          <w:rFonts w:asciiTheme="minorHAnsi" w:hAnsiTheme="minorHAnsi"/>
          <w:sz w:val="22"/>
          <w:lang w:val="sk-SK"/>
        </w:rPr>
        <w:t xml:space="preserve"> rozdiel</w:t>
      </w:r>
      <w:r w:rsidR="00A71779">
        <w:rPr>
          <w:rFonts w:asciiTheme="minorHAnsi" w:hAnsiTheme="minorHAnsi"/>
          <w:sz w:val="22"/>
          <w:lang w:val="sk-SK"/>
        </w:rPr>
        <w:t>ov</w:t>
      </w:r>
      <w:r w:rsidR="00D86D68" w:rsidRPr="0079009D">
        <w:rPr>
          <w:rFonts w:asciiTheme="minorHAnsi" w:hAnsiTheme="minorHAnsi"/>
          <w:sz w:val="22"/>
          <w:lang w:val="sk-SK"/>
        </w:rPr>
        <w:t xml:space="preserve">  v možnosti vzdelávať sa</w:t>
      </w:r>
      <w:r w:rsidR="00A71779">
        <w:rPr>
          <w:rFonts w:asciiTheme="minorHAnsi" w:hAnsiTheme="minorHAnsi"/>
          <w:sz w:val="22"/>
          <w:lang w:val="sk-SK"/>
        </w:rPr>
        <w:t>,</w:t>
      </w:r>
      <w:r w:rsidR="00D86D68" w:rsidRPr="0079009D">
        <w:rPr>
          <w:rFonts w:asciiTheme="minorHAnsi" w:hAnsiTheme="minorHAnsi"/>
          <w:sz w:val="22"/>
          <w:lang w:val="sk-SK"/>
        </w:rPr>
        <w:t xml:space="preserve"> a tým aj vo výsledkoch</w:t>
      </w:r>
      <w:r w:rsidR="004E379B">
        <w:rPr>
          <w:rFonts w:asciiTheme="minorHAnsi" w:hAnsiTheme="minorHAnsi"/>
          <w:sz w:val="22"/>
          <w:lang w:val="sk-SK"/>
        </w:rPr>
        <w:t>,</w:t>
      </w:r>
      <w:r w:rsidR="00D86D68" w:rsidRPr="0079009D">
        <w:rPr>
          <w:rFonts w:asciiTheme="minorHAnsi" w:hAnsiTheme="minorHAnsi"/>
          <w:sz w:val="22"/>
          <w:lang w:val="sk-SK"/>
        </w:rPr>
        <w:t xml:space="preserve"> k</w:t>
      </w:r>
      <w:r w:rsidR="00A71779">
        <w:rPr>
          <w:rFonts w:asciiTheme="minorHAnsi" w:hAnsiTheme="minorHAnsi"/>
          <w:sz w:val="22"/>
          <w:lang w:val="sk-SK"/>
        </w:rPr>
        <w:t>toré vzdelávanie prináša.</w:t>
      </w:r>
    </w:p>
    <w:p w:rsidR="00BA0DCD" w:rsidRPr="0079009D" w:rsidRDefault="00BA0DCD" w:rsidP="00BA0DCD">
      <w:pPr>
        <w:rPr>
          <w:rFonts w:asciiTheme="minorHAnsi" w:hAnsiTheme="minorHAnsi"/>
          <w:sz w:val="22"/>
          <w:lang w:val="sk-SK"/>
        </w:rPr>
      </w:pPr>
    </w:p>
    <w:p w:rsidR="00D2588F" w:rsidRPr="0079009D" w:rsidRDefault="002A384E" w:rsidP="00BA0DCD">
      <w:pPr>
        <w:rPr>
          <w:rFonts w:asciiTheme="minorHAnsi" w:hAnsiTheme="minorHAnsi"/>
          <w:sz w:val="22"/>
          <w:lang w:val="sk-SK"/>
        </w:rPr>
      </w:pPr>
      <w:r>
        <w:rPr>
          <w:rFonts w:asciiTheme="minorHAnsi" w:hAnsiTheme="minorHAnsi"/>
          <w:sz w:val="22"/>
          <w:lang w:val="sk-SK"/>
        </w:rPr>
        <w:t>N</w:t>
      </w:r>
      <w:r w:rsidR="00D2588F" w:rsidRPr="0079009D">
        <w:rPr>
          <w:rFonts w:asciiTheme="minorHAnsi" w:hAnsiTheme="minorHAnsi"/>
          <w:sz w:val="22"/>
          <w:lang w:val="sk-SK"/>
        </w:rPr>
        <w:t xml:space="preserve">a úrovní  prenikania do podstaty procesov politiky VD, </w:t>
      </w:r>
      <w:r w:rsidR="007615EA" w:rsidRPr="0079009D">
        <w:rPr>
          <w:rFonts w:asciiTheme="minorHAnsi" w:hAnsiTheme="minorHAnsi"/>
          <w:sz w:val="22"/>
          <w:lang w:val="sk-SK"/>
        </w:rPr>
        <w:t xml:space="preserve">projekt </w:t>
      </w:r>
      <w:r w:rsidR="00D2588F" w:rsidRPr="0079009D">
        <w:rPr>
          <w:rFonts w:asciiTheme="minorHAnsi" w:hAnsiTheme="minorHAnsi"/>
          <w:sz w:val="22"/>
          <w:lang w:val="sk-SK"/>
        </w:rPr>
        <w:t>REGIONAL m</w:t>
      </w:r>
      <w:r w:rsidR="00A71779">
        <w:rPr>
          <w:rFonts w:asciiTheme="minorHAnsi" w:hAnsiTheme="minorHAnsi"/>
          <w:sz w:val="22"/>
          <w:lang w:val="sk-SK"/>
        </w:rPr>
        <w:t>á</w:t>
      </w:r>
      <w:r w:rsidR="00D2588F" w:rsidRPr="0079009D">
        <w:rPr>
          <w:rFonts w:asciiTheme="minorHAnsi" w:hAnsiTheme="minorHAnsi"/>
          <w:sz w:val="22"/>
          <w:lang w:val="sk-SK"/>
        </w:rPr>
        <w:t xml:space="preserve"> cieľ doplniť rozsiahle medzinárodné porovnávacie štúdie, ktor</w:t>
      </w:r>
      <w:r w:rsidR="007615EA" w:rsidRPr="0079009D">
        <w:rPr>
          <w:rFonts w:asciiTheme="minorHAnsi" w:hAnsiTheme="minorHAnsi"/>
          <w:sz w:val="22"/>
          <w:lang w:val="sk-SK"/>
        </w:rPr>
        <w:t>é</w:t>
      </w:r>
      <w:r w:rsidR="00D2588F" w:rsidRPr="0079009D">
        <w:rPr>
          <w:rFonts w:asciiTheme="minorHAnsi" w:hAnsiTheme="minorHAnsi"/>
          <w:sz w:val="22"/>
          <w:lang w:val="sk-SK"/>
        </w:rPr>
        <w:t xml:space="preserve"> </w:t>
      </w:r>
      <w:r w:rsidR="0079009D" w:rsidRPr="0079009D">
        <w:rPr>
          <w:rFonts w:asciiTheme="minorHAnsi" w:hAnsiTheme="minorHAnsi"/>
          <w:sz w:val="22"/>
          <w:lang w:val="sk-SK"/>
        </w:rPr>
        <w:t>zisťujú</w:t>
      </w:r>
      <w:r w:rsidR="00D2588F" w:rsidRPr="0079009D">
        <w:rPr>
          <w:rFonts w:asciiTheme="minorHAnsi" w:hAnsiTheme="minorHAnsi"/>
          <w:sz w:val="22"/>
          <w:lang w:val="sk-SK"/>
        </w:rPr>
        <w:t xml:space="preserve"> </w:t>
      </w:r>
      <w:r w:rsidR="0079009D" w:rsidRPr="0079009D">
        <w:rPr>
          <w:rFonts w:asciiTheme="minorHAnsi" w:hAnsiTheme="minorHAnsi"/>
          <w:sz w:val="22"/>
          <w:lang w:val="sk-SK"/>
        </w:rPr>
        <w:t>regionálne</w:t>
      </w:r>
      <w:r w:rsidR="00D2588F" w:rsidRPr="0079009D">
        <w:rPr>
          <w:rFonts w:asciiTheme="minorHAnsi" w:hAnsiTheme="minorHAnsi"/>
          <w:sz w:val="22"/>
          <w:lang w:val="sk-SK"/>
        </w:rPr>
        <w:t xml:space="preserve"> </w:t>
      </w:r>
      <w:r w:rsidR="0092018B" w:rsidRPr="0079009D">
        <w:rPr>
          <w:rFonts w:asciiTheme="minorHAnsi" w:hAnsiTheme="minorHAnsi"/>
          <w:sz w:val="22"/>
          <w:lang w:val="sk-SK"/>
        </w:rPr>
        <w:t>rozdiely</w:t>
      </w:r>
      <w:r w:rsidR="00D2588F" w:rsidRPr="0079009D">
        <w:rPr>
          <w:rFonts w:asciiTheme="minorHAnsi" w:hAnsiTheme="minorHAnsi"/>
          <w:sz w:val="22"/>
          <w:lang w:val="sk-SK"/>
        </w:rPr>
        <w:t xml:space="preserve"> v správaní dospelých</w:t>
      </w:r>
      <w:r>
        <w:rPr>
          <w:rFonts w:asciiTheme="minorHAnsi" w:hAnsiTheme="minorHAnsi"/>
          <w:sz w:val="22"/>
          <w:lang w:val="sk-SK"/>
        </w:rPr>
        <w:t>,</w:t>
      </w:r>
      <w:r w:rsidR="00D2588F" w:rsidRPr="0079009D">
        <w:rPr>
          <w:rFonts w:asciiTheme="minorHAnsi" w:hAnsiTheme="minorHAnsi"/>
          <w:sz w:val="22"/>
          <w:lang w:val="sk-SK"/>
        </w:rPr>
        <w:t xml:space="preserve"> ako aj v ich účasti na vzdelávacích programoch. </w:t>
      </w:r>
      <w:r w:rsidR="0092018B" w:rsidRPr="0079009D">
        <w:rPr>
          <w:rFonts w:asciiTheme="minorHAnsi" w:hAnsiTheme="minorHAnsi"/>
          <w:sz w:val="22"/>
          <w:lang w:val="sk-SK"/>
        </w:rPr>
        <w:t xml:space="preserve"> </w:t>
      </w:r>
      <w:r w:rsidR="007267A1" w:rsidRPr="0079009D">
        <w:rPr>
          <w:rFonts w:asciiTheme="minorHAnsi" w:hAnsiTheme="minorHAnsi"/>
          <w:sz w:val="22"/>
          <w:lang w:val="sk-SK"/>
        </w:rPr>
        <w:t xml:space="preserve">Európska komisia v oznámení </w:t>
      </w:r>
      <w:r w:rsidR="0092018B" w:rsidRPr="0079009D">
        <w:rPr>
          <w:rFonts w:asciiTheme="minorHAnsi" w:hAnsiTheme="minorHAnsi"/>
          <w:sz w:val="22"/>
          <w:lang w:val="sk-SK"/>
        </w:rPr>
        <w:t xml:space="preserve"> “Vzdelávanie </w:t>
      </w:r>
      <w:r w:rsidR="0079009D" w:rsidRPr="0079009D">
        <w:rPr>
          <w:rFonts w:asciiTheme="minorHAnsi" w:hAnsiTheme="minorHAnsi"/>
          <w:sz w:val="22"/>
          <w:lang w:val="sk-SK"/>
        </w:rPr>
        <w:t>dospelých</w:t>
      </w:r>
      <w:r w:rsidR="0092018B" w:rsidRPr="0079009D">
        <w:rPr>
          <w:rFonts w:asciiTheme="minorHAnsi" w:hAnsiTheme="minorHAnsi"/>
          <w:sz w:val="22"/>
          <w:lang w:val="sk-SK"/>
        </w:rPr>
        <w:t xml:space="preserve">: Na učenie nie je nikdy neskoro” (2006) zdôraznila ako “zábrany jednotlivcov zúčastniť sa na vzdelávaní môžu súvisieť so samotnou politikou”. Preto projekt poskytuje prienik do procesov </w:t>
      </w:r>
      <w:r w:rsidR="007267A1" w:rsidRPr="0079009D">
        <w:rPr>
          <w:rFonts w:asciiTheme="minorHAnsi" w:hAnsiTheme="minorHAnsi"/>
          <w:sz w:val="22"/>
          <w:lang w:val="sk-SK"/>
        </w:rPr>
        <w:t xml:space="preserve">jej </w:t>
      </w:r>
      <w:r w:rsidR="0092018B" w:rsidRPr="0079009D">
        <w:rPr>
          <w:rFonts w:asciiTheme="minorHAnsi" w:hAnsiTheme="minorHAnsi"/>
          <w:sz w:val="22"/>
          <w:lang w:val="sk-SK"/>
        </w:rPr>
        <w:t>tvorby</w:t>
      </w:r>
      <w:r w:rsidR="007267A1" w:rsidRPr="0079009D">
        <w:rPr>
          <w:rFonts w:asciiTheme="minorHAnsi" w:hAnsiTheme="minorHAnsi"/>
          <w:sz w:val="22"/>
          <w:lang w:val="sk-SK"/>
        </w:rPr>
        <w:t xml:space="preserve">, implementácie  a financovania, čím vnáša svetlo do formálnych aspektov tvorby </w:t>
      </w:r>
      <w:r w:rsidR="004E379B">
        <w:rPr>
          <w:rFonts w:asciiTheme="minorHAnsi" w:hAnsiTheme="minorHAnsi"/>
          <w:sz w:val="22"/>
          <w:lang w:val="sk-SK"/>
        </w:rPr>
        <w:t xml:space="preserve">tejto </w:t>
      </w:r>
      <w:r w:rsidR="007267A1" w:rsidRPr="0079009D">
        <w:rPr>
          <w:rFonts w:asciiTheme="minorHAnsi" w:hAnsiTheme="minorHAnsi"/>
          <w:sz w:val="22"/>
          <w:lang w:val="sk-SK"/>
        </w:rPr>
        <w:t xml:space="preserve">politiky a jej vplyvu na vzdelávanie dospelých.  </w:t>
      </w:r>
    </w:p>
    <w:p w:rsidR="00BA0DCD" w:rsidRPr="0079009D" w:rsidRDefault="00BA0DCD" w:rsidP="003A494A">
      <w:pPr>
        <w:pStyle w:val="Default"/>
        <w:rPr>
          <w:rFonts w:asciiTheme="minorHAnsi" w:hAnsiTheme="minorHAnsi"/>
          <w:sz w:val="22"/>
          <w:lang w:val="sk-SK"/>
        </w:rPr>
      </w:pPr>
    </w:p>
    <w:p w:rsidR="00483FB0" w:rsidRPr="0079009D" w:rsidRDefault="007267A1" w:rsidP="003A494A">
      <w:pPr>
        <w:pStyle w:val="Default"/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 xml:space="preserve">Primárny výskum </w:t>
      </w:r>
      <w:r w:rsidR="00126F41" w:rsidRPr="0079009D">
        <w:rPr>
          <w:rFonts w:asciiTheme="minorHAnsi" w:hAnsiTheme="minorHAnsi"/>
          <w:sz w:val="22"/>
          <w:lang w:val="sk-SK"/>
        </w:rPr>
        <w:t>bol postavený na rozhovoroch, kt</w:t>
      </w:r>
      <w:r w:rsidR="00483FB0" w:rsidRPr="0079009D">
        <w:rPr>
          <w:rFonts w:asciiTheme="minorHAnsi" w:hAnsiTheme="minorHAnsi"/>
          <w:sz w:val="22"/>
          <w:lang w:val="sk-SK"/>
        </w:rPr>
        <w:t>o</w:t>
      </w:r>
      <w:r w:rsidR="00126F41" w:rsidRPr="0079009D">
        <w:rPr>
          <w:rFonts w:asciiTheme="minorHAnsi" w:hAnsiTheme="minorHAnsi"/>
          <w:sz w:val="22"/>
          <w:lang w:val="sk-SK"/>
        </w:rPr>
        <w:t xml:space="preserve">ré </w:t>
      </w:r>
      <w:r w:rsidR="00483FB0" w:rsidRPr="0079009D">
        <w:rPr>
          <w:rFonts w:asciiTheme="minorHAnsi" w:hAnsiTheme="minorHAnsi"/>
          <w:sz w:val="22"/>
          <w:lang w:val="sk-SK"/>
        </w:rPr>
        <w:t>sa riadili</w:t>
      </w:r>
      <w:r w:rsidR="00126F41" w:rsidRPr="0079009D">
        <w:rPr>
          <w:rFonts w:asciiTheme="minorHAnsi" w:hAnsiTheme="minorHAnsi"/>
          <w:sz w:val="22"/>
          <w:lang w:val="sk-SK"/>
        </w:rPr>
        <w:t xml:space="preserve"> </w:t>
      </w:r>
      <w:r w:rsidR="007615EA" w:rsidRPr="0079009D">
        <w:rPr>
          <w:rFonts w:asciiTheme="minorHAnsi" w:hAnsiTheme="minorHAnsi"/>
          <w:sz w:val="22"/>
          <w:lang w:val="sk-SK"/>
        </w:rPr>
        <w:t>jednotným</w:t>
      </w:r>
      <w:r w:rsidR="004E379B">
        <w:rPr>
          <w:rFonts w:asciiTheme="minorHAnsi" w:hAnsiTheme="minorHAnsi"/>
          <w:sz w:val="22"/>
          <w:lang w:val="sk-SK"/>
        </w:rPr>
        <w:t>,</w:t>
      </w:r>
      <w:r w:rsidR="00126F41" w:rsidRPr="0079009D">
        <w:rPr>
          <w:rFonts w:asciiTheme="minorHAnsi" w:hAnsiTheme="minorHAnsi"/>
          <w:sz w:val="22"/>
          <w:lang w:val="sk-SK"/>
        </w:rPr>
        <w:t xml:space="preserve"> spoločn</w:t>
      </w:r>
      <w:r w:rsidR="007615EA" w:rsidRPr="0079009D">
        <w:rPr>
          <w:rFonts w:asciiTheme="minorHAnsi" w:hAnsiTheme="minorHAnsi"/>
          <w:sz w:val="22"/>
          <w:lang w:val="sk-SK"/>
        </w:rPr>
        <w:t xml:space="preserve">e vytvoreným </w:t>
      </w:r>
      <w:r w:rsidR="00126F41" w:rsidRPr="0079009D">
        <w:rPr>
          <w:rFonts w:asciiTheme="minorHAnsi" w:hAnsiTheme="minorHAnsi"/>
          <w:sz w:val="22"/>
          <w:lang w:val="sk-SK"/>
        </w:rPr>
        <w:t>dotazník</w:t>
      </w:r>
      <w:r w:rsidR="00483FB0" w:rsidRPr="0079009D">
        <w:rPr>
          <w:rFonts w:asciiTheme="minorHAnsi" w:hAnsiTheme="minorHAnsi"/>
          <w:sz w:val="22"/>
          <w:lang w:val="sk-SK"/>
        </w:rPr>
        <w:t>om</w:t>
      </w:r>
      <w:r w:rsidR="007615EA" w:rsidRPr="0079009D">
        <w:rPr>
          <w:rFonts w:asciiTheme="minorHAnsi" w:hAnsiTheme="minorHAnsi"/>
          <w:sz w:val="22"/>
          <w:lang w:val="sk-SK"/>
        </w:rPr>
        <w:t>, obsahuj</w:t>
      </w:r>
      <w:r w:rsidR="004E379B">
        <w:rPr>
          <w:rFonts w:asciiTheme="minorHAnsi" w:hAnsiTheme="minorHAnsi"/>
          <w:sz w:val="22"/>
          <w:lang w:val="sk-SK"/>
        </w:rPr>
        <w:t>úcim otvorené a uzavreté otázky</w:t>
      </w:r>
      <w:r w:rsidR="007615EA" w:rsidRPr="0079009D">
        <w:rPr>
          <w:rFonts w:asciiTheme="minorHAnsi" w:hAnsiTheme="minorHAnsi"/>
          <w:sz w:val="22"/>
          <w:lang w:val="sk-SK"/>
        </w:rPr>
        <w:t xml:space="preserve"> týkajúce sa formulovania, implementovania a financovania politiky VD. </w:t>
      </w:r>
      <w:r w:rsidR="00483FB0" w:rsidRPr="0079009D">
        <w:rPr>
          <w:rFonts w:asciiTheme="minorHAnsi" w:hAnsiTheme="minorHAnsi"/>
          <w:sz w:val="22"/>
          <w:lang w:val="sk-SK"/>
        </w:rPr>
        <w:t xml:space="preserve"> </w:t>
      </w:r>
      <w:r w:rsidR="007615EA" w:rsidRPr="0079009D">
        <w:rPr>
          <w:rFonts w:asciiTheme="minorHAnsi" w:hAnsiTheme="minorHAnsi"/>
          <w:sz w:val="22"/>
          <w:lang w:val="sk-SK"/>
        </w:rPr>
        <w:t xml:space="preserve">Keďže </w:t>
      </w:r>
      <w:r w:rsidR="0079009D" w:rsidRPr="0079009D">
        <w:rPr>
          <w:rFonts w:asciiTheme="minorHAnsi" w:hAnsiTheme="minorHAnsi"/>
          <w:sz w:val="22"/>
          <w:lang w:val="sk-SK"/>
        </w:rPr>
        <w:t>slovenské</w:t>
      </w:r>
      <w:r w:rsidR="008E054D" w:rsidRPr="0079009D">
        <w:rPr>
          <w:rFonts w:asciiTheme="minorHAnsi" w:hAnsiTheme="minorHAnsi"/>
          <w:sz w:val="22"/>
          <w:lang w:val="sk-SK"/>
        </w:rPr>
        <w:t xml:space="preserve"> </w:t>
      </w:r>
      <w:r w:rsidR="0079009D" w:rsidRPr="0079009D">
        <w:rPr>
          <w:rFonts w:asciiTheme="minorHAnsi" w:hAnsiTheme="minorHAnsi"/>
          <w:sz w:val="22"/>
          <w:lang w:val="sk-SK"/>
        </w:rPr>
        <w:t>regióny</w:t>
      </w:r>
      <w:r w:rsidR="007615EA" w:rsidRPr="0079009D">
        <w:rPr>
          <w:rFonts w:asciiTheme="minorHAnsi" w:hAnsiTheme="minorHAnsi"/>
          <w:sz w:val="22"/>
          <w:lang w:val="sk-SK"/>
        </w:rPr>
        <w:t xml:space="preserve"> na úrovni NUTS 2 nemajú  riadiace štruktúry, analýza sa robila </w:t>
      </w:r>
      <w:r w:rsidR="004E379B">
        <w:rPr>
          <w:rFonts w:asciiTheme="minorHAnsi" w:hAnsiTheme="minorHAnsi"/>
          <w:sz w:val="22"/>
          <w:lang w:val="sk-SK"/>
        </w:rPr>
        <w:t>v</w:t>
      </w:r>
      <w:r w:rsidR="007615EA" w:rsidRPr="0079009D">
        <w:rPr>
          <w:rFonts w:asciiTheme="minorHAnsi" w:hAnsiTheme="minorHAnsi"/>
          <w:sz w:val="22"/>
          <w:lang w:val="sk-SK"/>
        </w:rPr>
        <w:t xml:space="preserve"> regiónoch úrovne NUTS 3. Z ôsmych vyšších územných celkov bol </w:t>
      </w:r>
      <w:r w:rsidR="0079009D" w:rsidRPr="0079009D">
        <w:rPr>
          <w:rFonts w:asciiTheme="minorHAnsi" w:hAnsiTheme="minorHAnsi"/>
          <w:sz w:val="22"/>
          <w:lang w:val="sk-SK"/>
        </w:rPr>
        <w:t>vybraný</w:t>
      </w:r>
      <w:r w:rsidR="007615EA" w:rsidRPr="0079009D">
        <w:rPr>
          <w:rFonts w:asciiTheme="minorHAnsi" w:hAnsiTheme="minorHAnsi"/>
          <w:sz w:val="22"/>
          <w:lang w:val="sk-SK"/>
        </w:rPr>
        <w:t xml:space="preserve"> Bratislavský samosprávny kraj a Prešovský samosprávny kraj, v terminológii programového obdobia 2007-2013 regióny spadajúce pod ciele  </w:t>
      </w:r>
      <w:r w:rsidR="008E054D" w:rsidRPr="0079009D">
        <w:rPr>
          <w:rFonts w:asciiTheme="minorHAnsi" w:hAnsiTheme="minorHAnsi"/>
          <w:sz w:val="22"/>
          <w:lang w:val="sk-SK"/>
        </w:rPr>
        <w:t>Konkurencieschopnosť a zamestnanosť</w:t>
      </w:r>
      <w:r w:rsidR="007615EA" w:rsidRPr="0079009D">
        <w:rPr>
          <w:rFonts w:asciiTheme="minorHAnsi" w:hAnsiTheme="minorHAnsi"/>
          <w:sz w:val="22"/>
          <w:lang w:val="sk-SK"/>
        </w:rPr>
        <w:t xml:space="preserve"> a </w:t>
      </w:r>
      <w:r w:rsidR="008E054D" w:rsidRPr="0079009D">
        <w:rPr>
          <w:rFonts w:asciiTheme="minorHAnsi" w:hAnsiTheme="minorHAnsi"/>
          <w:sz w:val="22"/>
          <w:lang w:val="sk-SK"/>
        </w:rPr>
        <w:t>Konvergencia</w:t>
      </w:r>
      <w:r w:rsidR="007615EA" w:rsidRPr="0079009D">
        <w:rPr>
          <w:rFonts w:asciiTheme="minorHAnsi" w:hAnsiTheme="minorHAnsi"/>
          <w:sz w:val="22"/>
          <w:lang w:val="sk-SK"/>
        </w:rPr>
        <w:t xml:space="preserve"> (</w:t>
      </w:r>
      <w:r w:rsidR="0024773F" w:rsidRPr="0079009D">
        <w:rPr>
          <w:rFonts w:asciiTheme="minorHAnsi" w:hAnsiTheme="minorHAnsi"/>
          <w:sz w:val="22"/>
          <w:lang w:val="sk-SK"/>
        </w:rPr>
        <w:t xml:space="preserve">v </w:t>
      </w:r>
      <w:r w:rsidR="007615EA" w:rsidRPr="0079009D">
        <w:rPr>
          <w:rFonts w:asciiTheme="minorHAnsi" w:hAnsiTheme="minorHAnsi"/>
          <w:sz w:val="22"/>
          <w:lang w:val="sk-SK"/>
        </w:rPr>
        <w:t xml:space="preserve">programovom </w:t>
      </w:r>
      <w:r w:rsidR="0079009D" w:rsidRPr="0079009D">
        <w:rPr>
          <w:rFonts w:asciiTheme="minorHAnsi" w:hAnsiTheme="minorHAnsi"/>
          <w:sz w:val="22"/>
          <w:lang w:val="sk-SK"/>
        </w:rPr>
        <w:t>období</w:t>
      </w:r>
      <w:r w:rsidR="007615EA" w:rsidRPr="0079009D">
        <w:rPr>
          <w:rFonts w:asciiTheme="minorHAnsi" w:hAnsiTheme="minorHAnsi"/>
          <w:sz w:val="22"/>
          <w:lang w:val="sk-SK"/>
        </w:rPr>
        <w:t xml:space="preserve"> 2014-2020 </w:t>
      </w:r>
      <w:r w:rsidR="0024773F" w:rsidRPr="0079009D">
        <w:rPr>
          <w:rFonts w:asciiTheme="minorHAnsi" w:hAnsiTheme="minorHAnsi"/>
          <w:sz w:val="22"/>
          <w:lang w:val="sk-SK"/>
        </w:rPr>
        <w:t xml:space="preserve">sú to </w:t>
      </w:r>
      <w:r w:rsidR="008E054D" w:rsidRPr="0079009D">
        <w:rPr>
          <w:rFonts w:asciiTheme="minorHAnsi" w:hAnsiTheme="minorHAnsi"/>
          <w:sz w:val="22"/>
          <w:lang w:val="sk-SK"/>
        </w:rPr>
        <w:t>regióny Prechodný a M</w:t>
      </w:r>
      <w:r w:rsidR="007615EA" w:rsidRPr="0079009D">
        <w:rPr>
          <w:rFonts w:asciiTheme="minorHAnsi" w:hAnsiTheme="minorHAnsi"/>
          <w:sz w:val="22"/>
          <w:lang w:val="sk-SK"/>
        </w:rPr>
        <w:t>enej rozvinutý)</w:t>
      </w:r>
      <w:r w:rsidR="0024773F" w:rsidRPr="0079009D">
        <w:rPr>
          <w:rFonts w:asciiTheme="minorHAnsi" w:hAnsiTheme="minorHAnsi"/>
          <w:sz w:val="22"/>
          <w:lang w:val="sk-SK"/>
        </w:rPr>
        <w:t>. Charakteristika týchto regiónov je</w:t>
      </w:r>
      <w:r w:rsidR="008E054D" w:rsidRPr="0079009D">
        <w:rPr>
          <w:rFonts w:asciiTheme="minorHAnsi" w:hAnsiTheme="minorHAnsi"/>
          <w:sz w:val="22"/>
          <w:lang w:val="sk-SK"/>
        </w:rPr>
        <w:t xml:space="preserve"> diametrálne odlišná z hľadiska</w:t>
      </w:r>
      <w:r w:rsidR="0024773F" w:rsidRPr="0079009D">
        <w:rPr>
          <w:rFonts w:asciiTheme="minorHAnsi" w:hAnsiTheme="minorHAnsi"/>
          <w:sz w:val="22"/>
          <w:lang w:val="sk-SK"/>
        </w:rPr>
        <w:t xml:space="preserve"> miery </w:t>
      </w:r>
      <w:r w:rsidR="0079009D" w:rsidRPr="0079009D">
        <w:rPr>
          <w:rFonts w:asciiTheme="minorHAnsi" w:hAnsiTheme="minorHAnsi"/>
          <w:sz w:val="22"/>
          <w:lang w:val="sk-SK"/>
        </w:rPr>
        <w:t>nezamestnanosti</w:t>
      </w:r>
      <w:r w:rsidR="0024773F" w:rsidRPr="0079009D">
        <w:rPr>
          <w:rFonts w:asciiTheme="minorHAnsi" w:hAnsiTheme="minorHAnsi"/>
          <w:sz w:val="22"/>
          <w:lang w:val="sk-SK"/>
        </w:rPr>
        <w:t>, hustoty obyvateľstva aj HDP</w:t>
      </w:r>
      <w:r w:rsidR="00D367DD">
        <w:rPr>
          <w:rFonts w:asciiTheme="minorHAnsi" w:hAnsiTheme="minorHAnsi"/>
          <w:sz w:val="22"/>
          <w:lang w:val="sk-SK"/>
        </w:rPr>
        <w:t xml:space="preserve"> (viď tabuľka)</w:t>
      </w:r>
      <w:r w:rsidR="0024773F" w:rsidRPr="0079009D">
        <w:rPr>
          <w:rFonts w:asciiTheme="minorHAnsi" w:hAnsiTheme="minorHAnsi"/>
          <w:sz w:val="22"/>
          <w:lang w:val="sk-SK"/>
        </w:rPr>
        <w:t xml:space="preserve">. </w:t>
      </w:r>
    </w:p>
    <w:p w:rsidR="00483FB0" w:rsidRPr="0079009D" w:rsidRDefault="00483FB0" w:rsidP="003A494A">
      <w:pPr>
        <w:pStyle w:val="Default"/>
        <w:rPr>
          <w:rFonts w:asciiTheme="minorHAnsi" w:hAnsiTheme="minorHAnsi"/>
          <w:sz w:val="22"/>
          <w:lang w:val="sk-SK"/>
        </w:rPr>
      </w:pPr>
    </w:p>
    <w:p w:rsidR="007C5223" w:rsidRPr="0079009D" w:rsidRDefault="0024773F" w:rsidP="007C5223">
      <w:pPr>
        <w:pStyle w:val="Default"/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>Celkovo bolo realizovan</w:t>
      </w:r>
      <w:r w:rsidR="008E054D" w:rsidRPr="0079009D">
        <w:rPr>
          <w:rFonts w:asciiTheme="minorHAnsi" w:hAnsiTheme="minorHAnsi"/>
          <w:sz w:val="22"/>
          <w:lang w:val="sk-SK"/>
        </w:rPr>
        <w:t>ých 6 rozhovorov , prvý slúžil</w:t>
      </w:r>
      <w:r w:rsidRPr="0079009D">
        <w:rPr>
          <w:rFonts w:asciiTheme="minorHAnsi" w:hAnsiTheme="minorHAnsi"/>
          <w:sz w:val="22"/>
          <w:lang w:val="sk-SK"/>
        </w:rPr>
        <w:t xml:space="preserve"> na otestovanie otázok a 5 </w:t>
      </w:r>
      <w:r w:rsidR="008E054D" w:rsidRPr="0079009D">
        <w:rPr>
          <w:rFonts w:asciiTheme="minorHAnsi" w:hAnsiTheme="minorHAnsi"/>
          <w:sz w:val="22"/>
          <w:lang w:val="sk-SK"/>
        </w:rPr>
        <w:t xml:space="preserve">nasledujúcich </w:t>
      </w:r>
      <w:r w:rsidRPr="0079009D">
        <w:rPr>
          <w:rFonts w:asciiTheme="minorHAnsi" w:hAnsiTheme="minorHAnsi"/>
          <w:sz w:val="22"/>
          <w:lang w:val="sk-SK"/>
        </w:rPr>
        <w:t xml:space="preserve">dotazníkov  bolo spracovaných v </w:t>
      </w:r>
      <w:r w:rsidR="0079009D" w:rsidRPr="0079009D">
        <w:rPr>
          <w:rFonts w:asciiTheme="minorHAnsi" w:hAnsiTheme="minorHAnsi"/>
          <w:sz w:val="22"/>
          <w:lang w:val="sk-SK"/>
        </w:rPr>
        <w:t>analýze</w:t>
      </w:r>
      <w:r w:rsidRPr="0079009D">
        <w:rPr>
          <w:rFonts w:asciiTheme="minorHAnsi" w:hAnsiTheme="minorHAnsi"/>
          <w:sz w:val="22"/>
          <w:lang w:val="sk-SK"/>
        </w:rPr>
        <w:t xml:space="preserve">. Vo všetkých prípadoch sa jednalo o nevolených tvorcov politiky. </w:t>
      </w:r>
      <w:r w:rsidR="004E379B">
        <w:rPr>
          <w:rFonts w:asciiTheme="minorHAnsi" w:hAnsiTheme="minorHAnsi"/>
          <w:sz w:val="22"/>
          <w:lang w:val="sk-SK"/>
        </w:rPr>
        <w:t xml:space="preserve">Vo vybraných </w:t>
      </w:r>
      <w:r w:rsidRPr="0079009D">
        <w:rPr>
          <w:rFonts w:asciiTheme="minorHAnsi" w:hAnsiTheme="minorHAnsi"/>
          <w:sz w:val="22"/>
          <w:lang w:val="sk-SK"/>
        </w:rPr>
        <w:t>regióno</w:t>
      </w:r>
      <w:r w:rsidR="004E379B">
        <w:rPr>
          <w:rFonts w:asciiTheme="minorHAnsi" w:hAnsiTheme="minorHAnsi"/>
          <w:sz w:val="22"/>
          <w:lang w:val="sk-SK"/>
        </w:rPr>
        <w:t>ch</w:t>
      </w:r>
      <w:r w:rsidRPr="0079009D">
        <w:rPr>
          <w:rFonts w:asciiTheme="minorHAnsi" w:hAnsiTheme="minorHAnsi"/>
          <w:sz w:val="22"/>
          <w:lang w:val="sk-SK"/>
        </w:rPr>
        <w:t xml:space="preserve"> bol realizovaný rozhovor s jedným zástupcom</w:t>
      </w:r>
      <w:r w:rsidR="00A71779">
        <w:rPr>
          <w:rFonts w:asciiTheme="minorHAnsi" w:hAnsiTheme="minorHAnsi"/>
          <w:sz w:val="22"/>
          <w:lang w:val="sk-SK"/>
        </w:rPr>
        <w:t xml:space="preserve"> samosprávneho kraja</w:t>
      </w:r>
      <w:r w:rsidRPr="0079009D">
        <w:rPr>
          <w:rFonts w:asciiTheme="minorHAnsi" w:hAnsiTheme="minorHAnsi"/>
          <w:sz w:val="22"/>
          <w:lang w:val="sk-SK"/>
        </w:rPr>
        <w:t>, ďalšie tri rozhovory boli vedené s tvorcami politiky na národnej úrovni, z Ministerstva školstva, zo Slovenskej akademickej asociácie pre medzinárodnú spoluprácu (SAAIC)</w:t>
      </w:r>
      <w:r w:rsidR="007C5223" w:rsidRPr="0079009D">
        <w:rPr>
          <w:rFonts w:asciiTheme="minorHAnsi" w:hAnsiTheme="minorHAnsi"/>
          <w:sz w:val="22"/>
          <w:lang w:val="sk-SK"/>
        </w:rPr>
        <w:t xml:space="preserve"> a </w:t>
      </w:r>
      <w:r w:rsidR="008E054D" w:rsidRPr="0079009D">
        <w:rPr>
          <w:rFonts w:asciiTheme="minorHAnsi" w:hAnsiTheme="minorHAnsi"/>
          <w:sz w:val="22"/>
          <w:lang w:val="sk-SK"/>
        </w:rPr>
        <w:t xml:space="preserve">z </w:t>
      </w:r>
      <w:r w:rsidR="007C5223" w:rsidRPr="0079009D">
        <w:rPr>
          <w:rFonts w:asciiTheme="minorHAnsi" w:hAnsiTheme="minorHAnsi"/>
          <w:sz w:val="22"/>
          <w:lang w:val="sk-SK"/>
        </w:rPr>
        <w:t xml:space="preserve">Národného </w:t>
      </w:r>
      <w:r w:rsidR="00D74104" w:rsidRPr="0079009D">
        <w:rPr>
          <w:rFonts w:asciiTheme="minorHAnsi" w:hAnsiTheme="minorHAnsi"/>
          <w:sz w:val="22"/>
          <w:lang w:val="sk-SK"/>
        </w:rPr>
        <w:t>ústav</w:t>
      </w:r>
      <w:r w:rsidR="007C5223" w:rsidRPr="0079009D">
        <w:rPr>
          <w:rFonts w:asciiTheme="minorHAnsi" w:hAnsiTheme="minorHAnsi"/>
          <w:sz w:val="22"/>
          <w:lang w:val="sk-SK"/>
        </w:rPr>
        <w:t xml:space="preserve"> pre celoživotné vzdelávanie</w:t>
      </w:r>
      <w:r w:rsidR="00D74104" w:rsidRPr="0079009D">
        <w:rPr>
          <w:rFonts w:asciiTheme="minorHAnsi" w:hAnsiTheme="minorHAnsi"/>
          <w:sz w:val="22"/>
          <w:lang w:val="sk-SK"/>
        </w:rPr>
        <w:t xml:space="preserve"> (N</w:t>
      </w:r>
      <w:r w:rsidR="00A71779">
        <w:rPr>
          <w:rFonts w:asciiTheme="minorHAnsi" w:hAnsiTheme="minorHAnsi"/>
          <w:sz w:val="22"/>
          <w:lang w:val="sk-SK"/>
        </w:rPr>
        <w:t>Ú</w:t>
      </w:r>
      <w:r w:rsidR="00D74104" w:rsidRPr="0079009D">
        <w:rPr>
          <w:rFonts w:asciiTheme="minorHAnsi" w:hAnsiTheme="minorHAnsi"/>
          <w:sz w:val="22"/>
          <w:lang w:val="sk-SK"/>
        </w:rPr>
        <w:t>CŽV)</w:t>
      </w:r>
      <w:r w:rsidR="007C5223" w:rsidRPr="0079009D">
        <w:rPr>
          <w:rFonts w:asciiTheme="minorHAnsi" w:hAnsiTheme="minorHAnsi"/>
          <w:sz w:val="22"/>
          <w:lang w:val="sk-SK"/>
        </w:rPr>
        <w:t>. Pri prieskume bolo potrebn</w:t>
      </w:r>
      <w:r w:rsidR="00A71779">
        <w:rPr>
          <w:rFonts w:asciiTheme="minorHAnsi" w:hAnsiTheme="minorHAnsi"/>
          <w:sz w:val="22"/>
          <w:lang w:val="sk-SK"/>
        </w:rPr>
        <w:t>é</w:t>
      </w:r>
      <w:r w:rsidR="007C5223" w:rsidRPr="0079009D">
        <w:rPr>
          <w:rFonts w:asciiTheme="minorHAnsi" w:hAnsiTheme="minorHAnsi"/>
          <w:sz w:val="22"/>
          <w:lang w:val="sk-SK"/>
        </w:rPr>
        <w:t xml:space="preserve"> orientovať </w:t>
      </w:r>
      <w:r w:rsidR="00A71779">
        <w:rPr>
          <w:rFonts w:asciiTheme="minorHAnsi" w:hAnsiTheme="minorHAnsi"/>
          <w:sz w:val="22"/>
          <w:lang w:val="sk-SK"/>
        </w:rPr>
        <w:t xml:space="preserve">sa </w:t>
      </w:r>
      <w:r w:rsidR="007C5223" w:rsidRPr="0079009D">
        <w:rPr>
          <w:rFonts w:asciiTheme="minorHAnsi" w:hAnsiTheme="minorHAnsi"/>
          <w:sz w:val="22"/>
          <w:lang w:val="sk-SK"/>
        </w:rPr>
        <w:t xml:space="preserve">najmä na národnú úroveň, keďže politika VD na regionálnej úrovni  nie je samostatne rozpracovaná.  Dielčie zmienky o nej sa nachádzajú v </w:t>
      </w:r>
      <w:r w:rsidR="00A71779">
        <w:rPr>
          <w:rFonts w:asciiTheme="minorHAnsi" w:hAnsiTheme="minorHAnsi"/>
          <w:sz w:val="22"/>
          <w:lang w:val="sk-SK"/>
        </w:rPr>
        <w:t xml:space="preserve">dokumentoch týkajúcich sa </w:t>
      </w:r>
      <w:r w:rsidR="0079009D" w:rsidRPr="0079009D">
        <w:rPr>
          <w:rFonts w:asciiTheme="minorHAnsi" w:hAnsiTheme="minorHAnsi"/>
          <w:sz w:val="22"/>
          <w:lang w:val="sk-SK"/>
        </w:rPr>
        <w:t>celkovej</w:t>
      </w:r>
      <w:r w:rsidR="007C5223" w:rsidRPr="0079009D">
        <w:rPr>
          <w:rFonts w:asciiTheme="minorHAnsi" w:hAnsiTheme="minorHAnsi"/>
          <w:sz w:val="22"/>
          <w:lang w:val="sk-SK"/>
        </w:rPr>
        <w:t xml:space="preserve"> rozvojovej stratégi</w:t>
      </w:r>
      <w:r w:rsidR="00A71779">
        <w:rPr>
          <w:rFonts w:asciiTheme="minorHAnsi" w:hAnsiTheme="minorHAnsi"/>
          <w:sz w:val="22"/>
          <w:lang w:val="sk-SK"/>
        </w:rPr>
        <w:t>e</w:t>
      </w:r>
      <w:r w:rsidR="007C5223" w:rsidRPr="0079009D">
        <w:rPr>
          <w:rFonts w:asciiTheme="minorHAnsi" w:hAnsiTheme="minorHAnsi"/>
          <w:sz w:val="22"/>
          <w:lang w:val="sk-SK"/>
        </w:rPr>
        <w:t xml:space="preserve"> </w:t>
      </w:r>
      <w:r w:rsidR="0079009D" w:rsidRPr="0079009D">
        <w:rPr>
          <w:rFonts w:asciiTheme="minorHAnsi" w:hAnsiTheme="minorHAnsi"/>
          <w:sz w:val="22"/>
          <w:lang w:val="sk-SK"/>
        </w:rPr>
        <w:t>regiónov</w:t>
      </w:r>
      <w:r w:rsidR="007C5223" w:rsidRPr="0079009D">
        <w:rPr>
          <w:rFonts w:asciiTheme="minorHAnsi" w:hAnsiTheme="minorHAnsi"/>
          <w:sz w:val="22"/>
          <w:lang w:val="sk-SK"/>
        </w:rPr>
        <w:t xml:space="preserve">. </w:t>
      </w:r>
    </w:p>
    <w:p w:rsidR="003A494A" w:rsidRPr="0079009D" w:rsidRDefault="003A494A" w:rsidP="003A494A">
      <w:pPr>
        <w:pStyle w:val="Default"/>
        <w:rPr>
          <w:rFonts w:asciiTheme="minorHAnsi" w:hAnsiTheme="minorHAnsi"/>
          <w:sz w:val="22"/>
          <w:lang w:val="sk-SK"/>
        </w:rPr>
      </w:pPr>
    </w:p>
    <w:p w:rsidR="00D74104" w:rsidRPr="0079009D" w:rsidRDefault="007C5223" w:rsidP="00861C46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>Hlavn</w:t>
      </w:r>
      <w:r w:rsidR="00D74104" w:rsidRPr="0079009D">
        <w:rPr>
          <w:rFonts w:asciiTheme="minorHAnsi" w:hAnsiTheme="minorHAnsi"/>
          <w:sz w:val="22"/>
          <w:lang w:val="sk-SK"/>
        </w:rPr>
        <w:t>ý</w:t>
      </w:r>
      <w:r w:rsidRPr="0079009D">
        <w:rPr>
          <w:rFonts w:asciiTheme="minorHAnsi" w:hAnsiTheme="minorHAnsi"/>
          <w:sz w:val="22"/>
          <w:lang w:val="sk-SK"/>
        </w:rPr>
        <w:t xml:space="preserve"> z</w:t>
      </w:r>
      <w:r w:rsidR="00D74104" w:rsidRPr="0079009D">
        <w:rPr>
          <w:rFonts w:asciiTheme="minorHAnsi" w:hAnsiTheme="minorHAnsi"/>
          <w:sz w:val="22"/>
          <w:lang w:val="sk-SK"/>
        </w:rPr>
        <w:t xml:space="preserve">áver prieskumu – na Slovensku sa na regionálnej úrovni nedá hovoriť o </w:t>
      </w:r>
      <w:r w:rsidR="0079009D" w:rsidRPr="0079009D">
        <w:rPr>
          <w:rFonts w:asciiTheme="minorHAnsi" w:hAnsiTheme="minorHAnsi"/>
          <w:sz w:val="22"/>
          <w:lang w:val="sk-SK"/>
        </w:rPr>
        <w:t>politike</w:t>
      </w:r>
      <w:r w:rsidR="00D74104" w:rsidRPr="0079009D">
        <w:rPr>
          <w:rFonts w:asciiTheme="minorHAnsi" w:hAnsiTheme="minorHAnsi"/>
          <w:sz w:val="22"/>
          <w:lang w:val="sk-SK"/>
        </w:rPr>
        <w:t xml:space="preserve"> VD. </w:t>
      </w:r>
      <w:r w:rsidR="0079009D" w:rsidRPr="0079009D">
        <w:rPr>
          <w:rFonts w:asciiTheme="minorHAnsi" w:hAnsiTheme="minorHAnsi"/>
          <w:sz w:val="22"/>
          <w:lang w:val="sk-SK"/>
        </w:rPr>
        <w:t>3 národné agentúry, v ktorých sme realizovali rozhovory , sa  na VD podieľajú každý z iného hľadiska – akreditácia a formalizovanie v</w:t>
      </w:r>
      <w:r w:rsidR="00B73144">
        <w:rPr>
          <w:rFonts w:asciiTheme="minorHAnsi" w:hAnsiTheme="minorHAnsi"/>
          <w:sz w:val="22"/>
          <w:lang w:val="sk-SK"/>
        </w:rPr>
        <w:t>zdelávacích produktov (m</w:t>
      </w:r>
      <w:r w:rsidR="0079009D">
        <w:rPr>
          <w:rFonts w:asciiTheme="minorHAnsi" w:hAnsiTheme="minorHAnsi"/>
          <w:sz w:val="22"/>
          <w:lang w:val="sk-SK"/>
        </w:rPr>
        <w:t>inister</w:t>
      </w:r>
      <w:r w:rsidR="0079009D" w:rsidRPr="0079009D">
        <w:rPr>
          <w:rFonts w:asciiTheme="minorHAnsi" w:hAnsiTheme="minorHAnsi"/>
          <w:sz w:val="22"/>
          <w:lang w:val="sk-SK"/>
        </w:rPr>
        <w:t>st</w:t>
      </w:r>
      <w:r w:rsidR="0079009D">
        <w:rPr>
          <w:rFonts w:asciiTheme="minorHAnsi" w:hAnsiTheme="minorHAnsi"/>
          <w:sz w:val="22"/>
          <w:lang w:val="sk-SK"/>
        </w:rPr>
        <w:t>v</w:t>
      </w:r>
      <w:r w:rsidR="0079009D" w:rsidRPr="0079009D">
        <w:rPr>
          <w:rFonts w:asciiTheme="minorHAnsi" w:hAnsiTheme="minorHAnsi"/>
          <w:sz w:val="22"/>
          <w:lang w:val="sk-SK"/>
        </w:rPr>
        <w:t>o), financovanie vybraných projektov (SAAIC) a implementácia národných projektov zameraných na znižovanie nezamestnanosti (NUCŽV).</w:t>
      </w:r>
    </w:p>
    <w:p w:rsidR="008C7251" w:rsidRPr="0079009D" w:rsidRDefault="008C7251" w:rsidP="00861C46">
      <w:pPr>
        <w:rPr>
          <w:rFonts w:asciiTheme="minorHAnsi" w:hAnsiTheme="minorHAnsi"/>
          <w:sz w:val="22"/>
          <w:lang w:val="sk-SK"/>
        </w:rPr>
      </w:pPr>
    </w:p>
    <w:p w:rsidR="004968EC" w:rsidRPr="0079009D" w:rsidRDefault="004968EC" w:rsidP="00861C46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lastRenderedPageBreak/>
        <w:t xml:space="preserve">Ako súčasť prieskumu bol realizovaný aj výskum </w:t>
      </w:r>
      <w:r w:rsidR="00D367DD">
        <w:rPr>
          <w:rFonts w:asciiTheme="minorHAnsi" w:hAnsiTheme="minorHAnsi"/>
          <w:sz w:val="22"/>
          <w:lang w:val="sk-SK"/>
        </w:rPr>
        <w:t>informačných zdrojov</w:t>
      </w:r>
      <w:r w:rsidRPr="0079009D">
        <w:rPr>
          <w:rFonts w:asciiTheme="minorHAnsi" w:hAnsiTheme="minorHAnsi"/>
          <w:sz w:val="22"/>
          <w:lang w:val="sk-SK"/>
        </w:rPr>
        <w:t xml:space="preserve">. Týkal sa dokumentov súvisiacich s VD od roku 2011 do 2014 a reflektoval aj </w:t>
      </w:r>
      <w:r w:rsidR="0079009D" w:rsidRPr="0079009D">
        <w:rPr>
          <w:rFonts w:asciiTheme="minorHAnsi" w:hAnsiTheme="minorHAnsi"/>
          <w:sz w:val="22"/>
          <w:lang w:val="sk-SK"/>
        </w:rPr>
        <w:t>st</w:t>
      </w:r>
      <w:r w:rsidR="0079009D">
        <w:rPr>
          <w:rFonts w:asciiTheme="minorHAnsi" w:hAnsiTheme="minorHAnsi"/>
          <w:sz w:val="22"/>
          <w:lang w:val="sk-SK"/>
        </w:rPr>
        <w:t>ar</w:t>
      </w:r>
      <w:r w:rsidR="0079009D" w:rsidRPr="0079009D">
        <w:rPr>
          <w:rFonts w:asciiTheme="minorHAnsi" w:hAnsiTheme="minorHAnsi"/>
          <w:sz w:val="22"/>
          <w:lang w:val="sk-SK"/>
        </w:rPr>
        <w:t>šie</w:t>
      </w:r>
      <w:r w:rsidRPr="0079009D">
        <w:rPr>
          <w:rFonts w:asciiTheme="minorHAnsi" w:hAnsiTheme="minorHAnsi"/>
          <w:sz w:val="22"/>
          <w:lang w:val="sk-SK"/>
        </w:rPr>
        <w:t xml:space="preserve"> </w:t>
      </w:r>
      <w:r w:rsidR="0079009D" w:rsidRPr="0079009D">
        <w:rPr>
          <w:rFonts w:asciiTheme="minorHAnsi" w:hAnsiTheme="minorHAnsi"/>
          <w:sz w:val="22"/>
          <w:lang w:val="sk-SK"/>
        </w:rPr>
        <w:t>materiály</w:t>
      </w:r>
      <w:r w:rsidRPr="0079009D">
        <w:rPr>
          <w:rFonts w:asciiTheme="minorHAnsi" w:hAnsiTheme="minorHAnsi"/>
          <w:sz w:val="22"/>
          <w:lang w:val="sk-SK"/>
        </w:rPr>
        <w:t xml:space="preserve">, ako napr. Zákon o celoživotnom vzdelávaní (2009), ktoré tvorili legislatívny rámec skúmanej problematiky. </w:t>
      </w:r>
    </w:p>
    <w:p w:rsidR="008C7251" w:rsidRPr="0079009D" w:rsidRDefault="008C7251" w:rsidP="00861C46">
      <w:pPr>
        <w:rPr>
          <w:rFonts w:asciiTheme="minorHAnsi" w:hAnsiTheme="minorHAnsi"/>
          <w:sz w:val="22"/>
          <w:lang w:val="sk-SK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985"/>
        <w:gridCol w:w="1843"/>
        <w:gridCol w:w="1842"/>
      </w:tblGrid>
      <w:tr w:rsidR="004A5463" w:rsidRPr="0079009D" w:rsidTr="004A5463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463" w:rsidRPr="0079009D" w:rsidRDefault="004A5463" w:rsidP="00BB7BD6">
            <w:pPr>
              <w:jc w:val="right"/>
              <w:rPr>
                <w:rFonts w:ascii="Calibri" w:hAnsi="Calibri"/>
                <w:color w:val="000000"/>
                <w:sz w:val="22"/>
                <w:lang w:val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4A5463" w:rsidP="008E054D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Slov</w:t>
            </w:r>
            <w:r w:rsidR="008E054D" w:rsidRPr="0079009D">
              <w:rPr>
                <w:rFonts w:ascii="Calibri" w:hAnsi="Calibri"/>
                <w:color w:val="000000"/>
                <w:sz w:val="22"/>
                <w:lang w:val="sk-SK"/>
              </w:rPr>
              <w:t>ensko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453CC5" w:rsidP="008E054D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Bratislavsk</w:t>
            </w:r>
            <w:r w:rsidR="008E054D" w:rsidRPr="0079009D">
              <w:rPr>
                <w:rFonts w:ascii="Calibri" w:hAnsi="Calibri"/>
                <w:color w:val="000000"/>
                <w:sz w:val="22"/>
                <w:lang w:val="sk-SK"/>
              </w:rPr>
              <w:t>ý</w:t>
            </w:r>
            <w:r w:rsidR="00184792"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 kraj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453CC5" w:rsidP="008E054D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Pre</w:t>
            </w:r>
            <w:r w:rsidR="008E054D" w:rsidRPr="0079009D">
              <w:rPr>
                <w:rFonts w:ascii="Calibri" w:hAnsi="Calibri"/>
                <w:color w:val="000000"/>
                <w:sz w:val="22"/>
                <w:lang w:val="sk-SK"/>
              </w:rPr>
              <w:t>š</w:t>
            </w: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ovsk</w:t>
            </w:r>
            <w:r w:rsidR="008E054D" w:rsidRPr="0079009D">
              <w:rPr>
                <w:rFonts w:ascii="Calibri" w:hAnsi="Calibri"/>
                <w:color w:val="000000"/>
                <w:sz w:val="22"/>
                <w:lang w:val="sk-SK"/>
              </w:rPr>
              <w:t>ý</w:t>
            </w:r>
            <w:r w:rsidR="00184792"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 kraj</w:t>
            </w:r>
          </w:p>
        </w:tc>
      </w:tr>
      <w:tr w:rsidR="004A5463" w:rsidRPr="0079009D" w:rsidTr="00D367D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A5463" w:rsidRPr="0079009D" w:rsidRDefault="00B346BF" w:rsidP="00B346BF">
            <w:pPr>
              <w:jc w:val="right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Počet o</w:t>
            </w:r>
            <w:r w:rsidR="008E054D" w:rsidRPr="0079009D">
              <w:rPr>
                <w:rFonts w:ascii="Calibri" w:hAnsi="Calibri"/>
                <w:color w:val="000000"/>
                <w:sz w:val="22"/>
                <w:lang w:val="sk-SK"/>
              </w:rPr>
              <w:t>byvate</w:t>
            </w: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ľov</w:t>
            </w:r>
            <w:r w:rsidR="004A5463"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 (201</w:t>
            </w:r>
            <w:r w:rsidR="002137CA" w:rsidRPr="0079009D">
              <w:rPr>
                <w:rFonts w:ascii="Calibri" w:hAnsi="Calibri"/>
                <w:color w:val="000000"/>
                <w:sz w:val="22"/>
                <w:lang w:val="sk-SK"/>
              </w:rPr>
              <w:t>3</w:t>
            </w:r>
            <w:r w:rsidR="004A5463"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463" w:rsidRPr="0079009D" w:rsidRDefault="00514578" w:rsidP="00514578">
            <w:pPr>
              <w:jc w:val="center"/>
              <w:rPr>
                <w:rFonts w:asciiTheme="minorHAnsi" w:hAnsiTheme="minorHAnsi"/>
                <w:color w:val="000000"/>
                <w:sz w:val="22"/>
                <w:lang w:val="sk-SK"/>
              </w:rPr>
            </w:pPr>
            <w:r w:rsidRPr="0079009D">
              <w:rPr>
                <w:rStyle w:val="Siln"/>
                <w:rFonts w:asciiTheme="minorHAnsi" w:hAnsiTheme="minorHAnsi"/>
                <w:b w:val="0"/>
                <w:sz w:val="22"/>
                <w:lang w:val="sk-SK"/>
              </w:rPr>
              <w:t>5 421 034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514578" w:rsidP="00BB7BD6">
            <w:pPr>
              <w:jc w:val="center"/>
              <w:rPr>
                <w:rFonts w:asciiTheme="minorHAnsi" w:hAnsiTheme="minorHAnsi"/>
                <w:color w:val="000000"/>
                <w:sz w:val="22"/>
                <w:lang w:val="sk-SK"/>
              </w:rPr>
            </w:pPr>
            <w:r w:rsidRPr="0079009D">
              <w:rPr>
                <w:rFonts w:asciiTheme="minorHAnsi" w:hAnsiTheme="minorHAnsi"/>
                <w:sz w:val="22"/>
                <w:lang w:val="sk-SK"/>
              </w:rPr>
              <w:t>606 537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514578" w:rsidP="00BB7BD6">
            <w:pPr>
              <w:jc w:val="center"/>
              <w:rPr>
                <w:rFonts w:asciiTheme="minorHAnsi" w:hAnsiTheme="minorHAnsi"/>
                <w:color w:val="000000"/>
                <w:sz w:val="22"/>
                <w:lang w:val="sk-SK"/>
              </w:rPr>
            </w:pPr>
            <w:r w:rsidRPr="0079009D">
              <w:rPr>
                <w:rFonts w:asciiTheme="minorHAnsi" w:hAnsiTheme="minorHAnsi"/>
                <w:sz w:val="22"/>
                <w:lang w:val="sk-SK"/>
              </w:rPr>
              <w:t>818 916</w:t>
            </w:r>
          </w:p>
        </w:tc>
      </w:tr>
      <w:tr w:rsidR="004A5463" w:rsidRPr="0079009D" w:rsidTr="00D367D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A5463" w:rsidRPr="0079009D" w:rsidRDefault="008E054D" w:rsidP="00BB7BD6">
            <w:pPr>
              <w:jc w:val="right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Rozloha v</w:t>
            </w:r>
            <w:r w:rsidR="004A5463"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 km2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0E415F" w:rsidP="00BB7BD6">
            <w:pPr>
              <w:jc w:val="center"/>
              <w:rPr>
                <w:rFonts w:asciiTheme="minorHAnsi" w:hAnsiTheme="minorHAnsi"/>
                <w:color w:val="000000"/>
                <w:sz w:val="22"/>
                <w:lang w:val="sk-SK"/>
              </w:rPr>
            </w:pPr>
            <w:r w:rsidRPr="0079009D">
              <w:rPr>
                <w:rFonts w:asciiTheme="minorHAnsi" w:hAnsiTheme="minorHAnsi"/>
                <w:color w:val="000000"/>
                <w:sz w:val="22"/>
                <w:lang w:val="sk-SK"/>
              </w:rPr>
              <w:t>49 035,30 km</w:t>
            </w:r>
            <w:r w:rsidRPr="0079009D">
              <w:rPr>
                <w:rFonts w:asciiTheme="minorHAnsi" w:hAnsiTheme="minorHAnsi"/>
                <w:sz w:val="22"/>
                <w:vertAlign w:val="superscript"/>
                <w:lang w:val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463" w:rsidRPr="0079009D" w:rsidRDefault="00514578" w:rsidP="002137CA">
            <w:pPr>
              <w:jc w:val="center"/>
              <w:rPr>
                <w:rFonts w:asciiTheme="minorHAnsi" w:hAnsiTheme="minorHAnsi"/>
                <w:color w:val="000000"/>
                <w:sz w:val="22"/>
                <w:lang w:val="sk-SK"/>
              </w:rPr>
            </w:pPr>
            <w:r w:rsidRPr="0079009D">
              <w:rPr>
                <w:rFonts w:asciiTheme="minorHAnsi" w:hAnsiTheme="minorHAnsi"/>
                <w:sz w:val="22"/>
                <w:lang w:val="sk-SK"/>
              </w:rPr>
              <w:t>2 052,62 km</w:t>
            </w:r>
            <w:r w:rsidR="002137CA" w:rsidRPr="0079009D">
              <w:rPr>
                <w:rFonts w:asciiTheme="minorHAnsi" w:hAnsiTheme="minorHAnsi"/>
                <w:sz w:val="22"/>
                <w:vertAlign w:val="superscript"/>
                <w:lang w:val="sk-SK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514578" w:rsidP="00BB7BD6">
            <w:pPr>
              <w:jc w:val="center"/>
              <w:rPr>
                <w:rFonts w:asciiTheme="minorHAnsi" w:hAnsiTheme="minorHAnsi"/>
                <w:color w:val="000000"/>
                <w:sz w:val="22"/>
                <w:lang w:val="sk-SK"/>
              </w:rPr>
            </w:pPr>
            <w:r w:rsidRPr="0079009D">
              <w:rPr>
                <w:rFonts w:asciiTheme="minorHAnsi" w:hAnsiTheme="minorHAnsi"/>
                <w:sz w:val="22"/>
                <w:lang w:val="sk-SK"/>
              </w:rPr>
              <w:t>8</w:t>
            </w:r>
            <w:r w:rsidR="000E415F" w:rsidRPr="0079009D">
              <w:rPr>
                <w:rFonts w:asciiTheme="minorHAnsi" w:hAnsiTheme="minorHAnsi"/>
                <w:sz w:val="22"/>
                <w:lang w:val="sk-SK"/>
              </w:rPr>
              <w:t> </w:t>
            </w:r>
            <w:r w:rsidRPr="0079009D">
              <w:rPr>
                <w:rFonts w:asciiTheme="minorHAnsi" w:hAnsiTheme="minorHAnsi"/>
                <w:sz w:val="22"/>
                <w:lang w:val="sk-SK"/>
              </w:rPr>
              <w:t>973</w:t>
            </w:r>
            <w:r w:rsidR="000E415F" w:rsidRPr="0079009D">
              <w:rPr>
                <w:rFonts w:asciiTheme="minorHAnsi" w:hAnsiTheme="minorHAnsi"/>
                <w:sz w:val="22"/>
                <w:lang w:val="sk-SK"/>
              </w:rPr>
              <w:t>,36</w:t>
            </w:r>
            <w:r w:rsidRPr="0079009D">
              <w:rPr>
                <w:rFonts w:asciiTheme="minorHAnsi" w:hAnsiTheme="minorHAnsi"/>
                <w:sz w:val="22"/>
                <w:lang w:val="sk-SK"/>
              </w:rPr>
              <w:t xml:space="preserve"> km</w:t>
            </w:r>
            <w:r w:rsidRPr="0079009D">
              <w:rPr>
                <w:rFonts w:asciiTheme="minorHAnsi" w:hAnsiTheme="minorHAnsi"/>
                <w:sz w:val="22"/>
                <w:vertAlign w:val="superscript"/>
                <w:lang w:val="sk-SK"/>
              </w:rPr>
              <w:t>2</w:t>
            </w:r>
          </w:p>
        </w:tc>
      </w:tr>
      <w:tr w:rsidR="004A5463" w:rsidRPr="0079009D" w:rsidTr="00D367D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A5463" w:rsidRPr="0079009D" w:rsidRDefault="008E054D" w:rsidP="008E054D">
            <w:pPr>
              <w:jc w:val="right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HDP na obyvateľa</w:t>
            </w:r>
            <w:r w:rsidR="004A5463"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 (2011, in PPS)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026631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75,4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026631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186,1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026631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44,1</w:t>
            </w:r>
          </w:p>
        </w:tc>
      </w:tr>
      <w:tr w:rsidR="004A5463" w:rsidRPr="0079009D" w:rsidTr="00D367D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A5463" w:rsidRPr="0079009D" w:rsidRDefault="008E054D" w:rsidP="008E054D">
            <w:pPr>
              <w:jc w:val="right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Typ </w:t>
            </w:r>
            <w:r w:rsidR="0079009D" w:rsidRPr="0079009D">
              <w:rPr>
                <w:rFonts w:ascii="Calibri" w:hAnsi="Calibri"/>
                <w:color w:val="000000"/>
                <w:sz w:val="22"/>
                <w:lang w:val="sk-SK"/>
              </w:rPr>
              <w:t>regiónu</w:t>
            </w: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 pre </w:t>
            </w:r>
            <w:r w:rsidR="004A5463" w:rsidRPr="0079009D">
              <w:rPr>
                <w:rFonts w:ascii="Calibri" w:hAnsi="Calibri"/>
                <w:color w:val="000000"/>
                <w:sz w:val="22"/>
                <w:lang w:val="sk-SK"/>
              </w:rPr>
              <w:t>ESF  2007-2013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A5463" w:rsidRPr="0079009D" w:rsidRDefault="004A5463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79009D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Konkurencieschop</w:t>
            </w:r>
            <w:r>
              <w:rPr>
                <w:rFonts w:ascii="Calibri" w:hAnsi="Calibri"/>
                <w:color w:val="000000"/>
                <w:sz w:val="22"/>
                <w:lang w:val="sk-SK"/>
              </w:rPr>
              <w:t>nosť</w:t>
            </w: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 a</w:t>
            </w:r>
            <w:r>
              <w:rPr>
                <w:rFonts w:ascii="Calibri" w:hAnsi="Calibri"/>
                <w:color w:val="000000"/>
                <w:sz w:val="22"/>
                <w:lang w:val="sk-SK"/>
              </w:rPr>
              <w:t xml:space="preserve"> </w:t>
            </w: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zamestnanosť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8E054D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Konvergencia</w:t>
            </w:r>
          </w:p>
        </w:tc>
      </w:tr>
      <w:tr w:rsidR="004A5463" w:rsidRPr="0079009D" w:rsidTr="00D367D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A5463" w:rsidRPr="0079009D" w:rsidRDefault="0079009D" w:rsidP="008E054D">
            <w:pPr>
              <w:jc w:val="right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Typ</w:t>
            </w:r>
            <w:r w:rsidR="008E054D"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 </w:t>
            </w: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regiónu</w:t>
            </w:r>
            <w:r w:rsidR="008E054D"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 pre </w:t>
            </w:r>
            <w:r w:rsidR="004A5463" w:rsidRPr="0079009D">
              <w:rPr>
                <w:rFonts w:ascii="Calibri" w:hAnsi="Calibri"/>
                <w:color w:val="000000"/>
                <w:sz w:val="22"/>
                <w:lang w:val="sk-SK"/>
              </w:rPr>
              <w:t>ESF  2014-2020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4A5463" w:rsidRPr="0079009D" w:rsidRDefault="004A5463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8E054D" w:rsidP="008E054D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Prechodný región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8E054D" w:rsidP="008E054D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Menej rozvinutý región</w:t>
            </w:r>
          </w:p>
        </w:tc>
      </w:tr>
      <w:tr w:rsidR="004A5463" w:rsidRPr="0079009D" w:rsidTr="00D367D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A5463" w:rsidRPr="0079009D" w:rsidRDefault="008E054D" w:rsidP="002137CA">
            <w:pPr>
              <w:jc w:val="right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Miera zamestnanosti</w:t>
            </w:r>
            <w:r w:rsidR="004A5463"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 (201</w:t>
            </w:r>
            <w:r w:rsidR="002137CA" w:rsidRPr="0079009D">
              <w:rPr>
                <w:rFonts w:ascii="Calibri" w:hAnsi="Calibri"/>
                <w:color w:val="000000"/>
                <w:sz w:val="22"/>
                <w:lang w:val="sk-SK"/>
              </w:rPr>
              <w:t>3</w:t>
            </w:r>
            <w:r w:rsidR="004A5463" w:rsidRPr="0079009D">
              <w:rPr>
                <w:rFonts w:ascii="Calibri" w:hAnsi="Calibri"/>
                <w:color w:val="000000"/>
                <w:sz w:val="22"/>
                <w:lang w:val="sk-SK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28" w:rsidRPr="0079009D" w:rsidRDefault="00026631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65,1</w:t>
            </w:r>
          </w:p>
          <w:p w:rsidR="004A5463" w:rsidRPr="0079009D" w:rsidRDefault="002137CA" w:rsidP="00E95628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2 177 848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57" w:rsidRPr="0079009D" w:rsidRDefault="005A5857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</w:p>
          <w:p w:rsidR="004A5463" w:rsidRPr="0079009D" w:rsidRDefault="002137CA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437</w:t>
            </w:r>
            <w:r w:rsidR="00E95628" w:rsidRPr="0079009D">
              <w:rPr>
                <w:rFonts w:ascii="Calibri" w:hAnsi="Calibri"/>
                <w:color w:val="000000"/>
                <w:sz w:val="22"/>
                <w:lang w:val="sk-SK"/>
              </w:rPr>
              <w:t> </w:t>
            </w: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28" w:rsidRPr="0079009D" w:rsidRDefault="00E95628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</w:p>
          <w:p w:rsidR="004A5463" w:rsidRPr="0079009D" w:rsidRDefault="002137CA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245 428</w:t>
            </w:r>
          </w:p>
        </w:tc>
      </w:tr>
      <w:tr w:rsidR="004A5463" w:rsidRPr="0079009D" w:rsidTr="00D367D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A5463" w:rsidRPr="0079009D" w:rsidRDefault="008E054D" w:rsidP="002137CA">
            <w:pPr>
              <w:jc w:val="right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Miera nezame</w:t>
            </w:r>
            <w:r w:rsidR="005D1224" w:rsidRPr="0079009D">
              <w:rPr>
                <w:rFonts w:ascii="Calibri" w:hAnsi="Calibri"/>
                <w:color w:val="000000"/>
                <w:sz w:val="22"/>
                <w:lang w:val="sk-SK"/>
              </w:rPr>
              <w:t>stnanosti</w:t>
            </w:r>
            <w:r w:rsidR="004A5463"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 (201</w:t>
            </w:r>
            <w:r w:rsidR="002137CA" w:rsidRPr="0079009D">
              <w:rPr>
                <w:rFonts w:ascii="Calibri" w:hAnsi="Calibri"/>
                <w:color w:val="000000"/>
                <w:sz w:val="22"/>
                <w:lang w:val="sk-SK"/>
              </w:rPr>
              <w:t>3</w:t>
            </w:r>
            <w:r w:rsidR="004A5463" w:rsidRPr="0079009D">
              <w:rPr>
                <w:rFonts w:ascii="Calibri" w:hAnsi="Calibri"/>
                <w:color w:val="000000"/>
                <w:sz w:val="22"/>
                <w:lang w:val="sk-SK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2137CA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13,50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2137CA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6</w:t>
            </w:r>
            <w:r w:rsidR="00026631" w:rsidRPr="0079009D">
              <w:rPr>
                <w:rFonts w:ascii="Calibri" w:hAnsi="Calibri"/>
                <w:color w:val="000000"/>
                <w:sz w:val="22"/>
                <w:lang w:val="sk-SK"/>
              </w:rPr>
              <w:t>,</w:t>
            </w: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1</w:t>
            </w:r>
            <w:r w:rsidR="00026631" w:rsidRPr="0079009D">
              <w:rPr>
                <w:rFonts w:ascii="Calibri" w:hAnsi="Calibri"/>
                <w:color w:val="000000"/>
                <w:sz w:val="22"/>
                <w:lang w:val="sk-SK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026631" w:rsidP="002137CA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19,</w:t>
            </w:r>
            <w:r w:rsidR="002137CA" w:rsidRPr="0079009D">
              <w:rPr>
                <w:rFonts w:ascii="Calibri" w:hAnsi="Calibri"/>
                <w:color w:val="000000"/>
                <w:sz w:val="22"/>
                <w:lang w:val="sk-SK"/>
              </w:rPr>
              <w:t>35</w:t>
            </w:r>
          </w:p>
        </w:tc>
      </w:tr>
      <w:tr w:rsidR="004A5463" w:rsidRPr="0079009D" w:rsidTr="00D367D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A5463" w:rsidRPr="0079009D" w:rsidRDefault="005D1224" w:rsidP="00BB7BD6">
            <w:pPr>
              <w:jc w:val="right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Účasť na celoživotnom vzdel.</w:t>
            </w:r>
            <w:r w:rsidR="004A5463"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 (2013)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8564CB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463" w:rsidRPr="0079009D" w:rsidRDefault="0073438B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6,2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73438B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1,0</w:t>
            </w:r>
          </w:p>
        </w:tc>
      </w:tr>
      <w:tr w:rsidR="004A5463" w:rsidRPr="0079009D" w:rsidTr="00D367D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A5463" w:rsidRPr="0079009D" w:rsidRDefault="005D1224" w:rsidP="005D1224">
            <w:pPr>
              <w:jc w:val="right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Účastníci na opatreniach týkajúcich sa politiky pracovného trhu </w:t>
            </w:r>
            <w:r w:rsidR="004A5463" w:rsidRPr="0079009D">
              <w:rPr>
                <w:rFonts w:ascii="Calibri" w:hAnsi="Calibri"/>
                <w:color w:val="000000"/>
                <w:sz w:val="22"/>
                <w:lang w:val="sk-SK"/>
              </w:rPr>
              <w:t>(tr</w:t>
            </w: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éningy</w:t>
            </w:r>
            <w:r w:rsidR="004A5463" w:rsidRPr="0079009D">
              <w:rPr>
                <w:rFonts w:ascii="Calibri" w:hAnsi="Calibri"/>
                <w:color w:val="000000"/>
                <w:sz w:val="22"/>
                <w:lang w:val="sk-SK"/>
              </w:rPr>
              <w:t>, 2012)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8564CB" w:rsidP="00E95628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75</w:t>
            </w:r>
            <w:r w:rsidR="00E95628" w:rsidRPr="0079009D">
              <w:rPr>
                <w:rFonts w:ascii="Calibri" w:hAnsi="Calibri"/>
                <w:color w:val="000000"/>
                <w:sz w:val="22"/>
                <w:lang w:val="sk-SK"/>
              </w:rPr>
              <w:t xml:space="preserve"> </w:t>
            </w: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415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E95628" w:rsidP="00BB7BD6">
            <w:pPr>
              <w:jc w:val="center"/>
              <w:rPr>
                <w:rFonts w:ascii="Calibri" w:hAnsi="Calibri"/>
                <w:color w:val="000000"/>
                <w:sz w:val="22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63" w:rsidRPr="0079009D" w:rsidRDefault="00E95628" w:rsidP="00BB7BD6">
            <w:pPr>
              <w:jc w:val="center"/>
              <w:rPr>
                <w:rFonts w:ascii="Calibri" w:hAnsi="Calibri"/>
                <w:color w:val="000000"/>
                <w:sz w:val="22"/>
                <w:highlight w:val="yellow"/>
                <w:lang w:val="sk-SK"/>
              </w:rPr>
            </w:pPr>
            <w:r w:rsidRPr="0079009D">
              <w:rPr>
                <w:rFonts w:ascii="Calibri" w:hAnsi="Calibri"/>
                <w:color w:val="000000"/>
                <w:sz w:val="22"/>
                <w:lang w:val="sk-SK"/>
              </w:rPr>
              <w:t>?</w:t>
            </w:r>
          </w:p>
        </w:tc>
      </w:tr>
    </w:tbl>
    <w:p w:rsidR="00861C46" w:rsidRPr="0079009D" w:rsidRDefault="00861C46">
      <w:pPr>
        <w:rPr>
          <w:rFonts w:asciiTheme="minorHAnsi" w:hAnsiTheme="minorHAnsi"/>
          <w:sz w:val="20"/>
          <w:lang w:val="sk-SK"/>
        </w:rPr>
      </w:pPr>
    </w:p>
    <w:p w:rsidR="00861C46" w:rsidRPr="00BA0DCD" w:rsidRDefault="00861C46">
      <w:pPr>
        <w:rPr>
          <w:rFonts w:asciiTheme="minorHAnsi" w:hAnsiTheme="minorHAnsi"/>
          <w:sz w:val="20"/>
          <w:lang w:val="en-US"/>
        </w:rPr>
      </w:pPr>
    </w:p>
    <w:p w:rsidR="00861C46" w:rsidRPr="00BA0DCD" w:rsidRDefault="00861C46">
      <w:pPr>
        <w:rPr>
          <w:rFonts w:asciiTheme="minorHAnsi" w:hAnsiTheme="minorHAnsi"/>
          <w:sz w:val="20"/>
          <w:lang w:val="en-US"/>
        </w:rPr>
      </w:pPr>
    </w:p>
    <w:p w:rsidR="00861C46" w:rsidRPr="00BA0DCD" w:rsidRDefault="00861C46">
      <w:pPr>
        <w:rPr>
          <w:rFonts w:asciiTheme="minorHAnsi" w:hAnsiTheme="minorHAnsi"/>
          <w:sz w:val="20"/>
          <w:lang w:val="en-US"/>
        </w:rPr>
      </w:pPr>
    </w:p>
    <w:p w:rsidR="00861C46" w:rsidRPr="00BA0DCD" w:rsidRDefault="00861C46">
      <w:pPr>
        <w:rPr>
          <w:rFonts w:asciiTheme="minorHAnsi" w:hAnsiTheme="minorHAnsi"/>
          <w:sz w:val="20"/>
          <w:lang w:val="en-US"/>
        </w:rPr>
      </w:pPr>
    </w:p>
    <w:p w:rsidR="00861C46" w:rsidRDefault="00861C46">
      <w:pPr>
        <w:rPr>
          <w:rFonts w:asciiTheme="minorHAnsi" w:hAnsiTheme="minorHAnsi"/>
          <w:sz w:val="22"/>
          <w:lang w:val="en-US"/>
        </w:rPr>
      </w:pPr>
    </w:p>
    <w:p w:rsidR="00861C46" w:rsidRDefault="00861C46">
      <w:pPr>
        <w:rPr>
          <w:rFonts w:asciiTheme="minorHAnsi" w:hAnsiTheme="minorHAnsi"/>
          <w:sz w:val="22"/>
          <w:lang w:val="en-US"/>
        </w:rPr>
      </w:pPr>
    </w:p>
    <w:p w:rsidR="00E95628" w:rsidRDefault="00E95628">
      <w:pPr>
        <w:rPr>
          <w:rFonts w:asciiTheme="minorHAnsi" w:eastAsiaTheme="majorEastAsia" w:hAnsiTheme="minorHAnsi" w:cstheme="majorBidi"/>
          <w:b/>
          <w:bCs/>
          <w:iCs/>
          <w:color w:val="1F497D" w:themeColor="text2"/>
          <w:sz w:val="22"/>
          <w:szCs w:val="22"/>
          <w:lang w:val="en-US"/>
        </w:rPr>
      </w:pPr>
      <w:r>
        <w:br w:type="page"/>
      </w:r>
    </w:p>
    <w:p w:rsidR="00D31F73" w:rsidRPr="0079009D" w:rsidRDefault="00FA7E2D" w:rsidP="00D31F73">
      <w:pPr>
        <w:pStyle w:val="Nadpis2"/>
        <w:rPr>
          <w:lang w:val="sk-SK"/>
        </w:rPr>
      </w:pPr>
      <w:bookmarkStart w:id="2" w:name="_Toc421866796"/>
      <w:r>
        <w:rPr>
          <w:lang w:val="sk-SK"/>
        </w:rPr>
        <w:lastRenderedPageBreak/>
        <w:t>Formulovanie politiky vzdelávania dospelých</w:t>
      </w:r>
      <w:bookmarkEnd w:id="2"/>
      <w:r w:rsidR="00495960" w:rsidRPr="0079009D">
        <w:rPr>
          <w:lang w:val="sk-SK"/>
        </w:rPr>
        <w:t xml:space="preserve"> </w:t>
      </w:r>
    </w:p>
    <w:p w:rsidR="00D31F73" w:rsidRPr="0079009D" w:rsidRDefault="00D31F73">
      <w:pPr>
        <w:rPr>
          <w:rFonts w:asciiTheme="minorHAnsi" w:hAnsiTheme="minorHAnsi"/>
          <w:sz w:val="22"/>
          <w:lang w:val="sk-SK"/>
        </w:rPr>
      </w:pPr>
    </w:p>
    <w:p w:rsidR="0026768C" w:rsidRPr="0079009D" w:rsidRDefault="0026768C" w:rsidP="00B121AD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>Politika VD</w:t>
      </w:r>
      <w:r w:rsidR="001C35D4">
        <w:rPr>
          <w:rFonts w:asciiTheme="minorHAnsi" w:hAnsiTheme="minorHAnsi"/>
          <w:sz w:val="22"/>
          <w:lang w:val="sk-SK"/>
        </w:rPr>
        <w:t xml:space="preserve"> ako súčasť celoživotného vzdelávania</w:t>
      </w:r>
      <w:r w:rsidRPr="0079009D">
        <w:rPr>
          <w:rFonts w:asciiTheme="minorHAnsi" w:hAnsiTheme="minorHAnsi"/>
          <w:sz w:val="22"/>
          <w:lang w:val="sk-SK"/>
        </w:rPr>
        <w:t xml:space="preserve"> je formulovaná na národnej úrovni </w:t>
      </w:r>
      <w:r w:rsidR="0079009D" w:rsidRPr="0079009D">
        <w:rPr>
          <w:rFonts w:asciiTheme="minorHAnsi" w:hAnsiTheme="minorHAnsi"/>
          <w:sz w:val="22"/>
          <w:lang w:val="sk-SK"/>
        </w:rPr>
        <w:t>Ministerstvom</w:t>
      </w:r>
      <w:r w:rsidRPr="0079009D">
        <w:rPr>
          <w:rFonts w:asciiTheme="minorHAnsi" w:hAnsiTheme="minorHAnsi"/>
          <w:sz w:val="22"/>
          <w:lang w:val="sk-SK"/>
        </w:rPr>
        <w:t xml:space="preserve"> školstva. Zákon o celoživotnom vzdelávaním bol prijatý v</w:t>
      </w:r>
      <w:r w:rsidR="004E379B">
        <w:rPr>
          <w:rFonts w:asciiTheme="minorHAnsi" w:hAnsiTheme="minorHAnsi"/>
          <w:sz w:val="22"/>
          <w:lang w:val="sk-SK"/>
        </w:rPr>
        <w:t xml:space="preserve"> roku </w:t>
      </w:r>
      <w:r w:rsidRPr="0079009D">
        <w:rPr>
          <w:rFonts w:asciiTheme="minorHAnsi" w:hAnsiTheme="minorHAnsi"/>
          <w:sz w:val="22"/>
          <w:lang w:val="sk-SK"/>
        </w:rPr>
        <w:t xml:space="preserve">2009, niekoľkokrát bol doplňovaný a v súčasnosti sa pripravuje </w:t>
      </w:r>
      <w:r w:rsidR="001C35D4">
        <w:rPr>
          <w:rFonts w:asciiTheme="minorHAnsi" w:hAnsiTheme="minorHAnsi"/>
          <w:sz w:val="22"/>
          <w:lang w:val="sk-SK"/>
        </w:rPr>
        <w:t>nový zákon</w:t>
      </w:r>
      <w:r w:rsidRPr="0079009D">
        <w:rPr>
          <w:rFonts w:asciiTheme="minorHAnsi" w:hAnsiTheme="minorHAnsi"/>
          <w:sz w:val="22"/>
          <w:lang w:val="sk-SK"/>
        </w:rPr>
        <w:t xml:space="preserve">. Iniciatívu prevzalo </w:t>
      </w:r>
      <w:r w:rsidR="0079009D" w:rsidRPr="0079009D">
        <w:rPr>
          <w:rFonts w:asciiTheme="minorHAnsi" w:hAnsiTheme="minorHAnsi"/>
          <w:sz w:val="22"/>
          <w:lang w:val="sk-SK"/>
        </w:rPr>
        <w:t>Ministerstvo</w:t>
      </w:r>
      <w:r w:rsidRPr="0079009D">
        <w:rPr>
          <w:rFonts w:asciiTheme="minorHAnsi" w:hAnsiTheme="minorHAnsi"/>
          <w:sz w:val="22"/>
          <w:lang w:val="sk-SK"/>
        </w:rPr>
        <w:t xml:space="preserve">  v úzkej spolupráci s Ná</w:t>
      </w:r>
      <w:r w:rsidR="008F15DC" w:rsidRPr="0079009D">
        <w:rPr>
          <w:rFonts w:asciiTheme="minorHAnsi" w:hAnsiTheme="minorHAnsi"/>
          <w:sz w:val="22"/>
          <w:lang w:val="sk-SK"/>
        </w:rPr>
        <w:t>rodným ú</w:t>
      </w:r>
      <w:r w:rsidRPr="0079009D">
        <w:rPr>
          <w:rFonts w:asciiTheme="minorHAnsi" w:hAnsiTheme="minorHAnsi"/>
          <w:sz w:val="22"/>
          <w:lang w:val="sk-SK"/>
        </w:rPr>
        <w:t xml:space="preserve">radom pre celoživotné vzdelávanie. Cieľom nového zákona je </w:t>
      </w:r>
      <w:r w:rsidR="008F15DC" w:rsidRPr="0079009D">
        <w:rPr>
          <w:rFonts w:asciiTheme="minorHAnsi" w:hAnsiTheme="minorHAnsi"/>
          <w:sz w:val="22"/>
          <w:lang w:val="sk-SK"/>
        </w:rPr>
        <w:t xml:space="preserve">vytvoriť </w:t>
      </w:r>
      <w:r w:rsidR="0079009D" w:rsidRPr="0079009D">
        <w:rPr>
          <w:rFonts w:asciiTheme="minorHAnsi" w:hAnsiTheme="minorHAnsi"/>
          <w:sz w:val="22"/>
          <w:lang w:val="sk-SK"/>
        </w:rPr>
        <w:t>systém</w:t>
      </w:r>
      <w:r w:rsidR="008F15DC" w:rsidRPr="0079009D">
        <w:rPr>
          <w:rFonts w:asciiTheme="minorHAnsi" w:hAnsiTheme="minorHAnsi"/>
          <w:sz w:val="22"/>
          <w:lang w:val="sk-SK"/>
        </w:rPr>
        <w:t xml:space="preserve"> monitorovania a prognózovania tréningových potrieb pre </w:t>
      </w:r>
      <w:r w:rsidR="0079009D" w:rsidRPr="0079009D">
        <w:rPr>
          <w:rFonts w:asciiTheme="minorHAnsi" w:hAnsiTheme="minorHAnsi"/>
          <w:sz w:val="22"/>
          <w:lang w:val="sk-SK"/>
        </w:rPr>
        <w:t>oblasť</w:t>
      </w:r>
      <w:r w:rsidR="008F15DC" w:rsidRPr="0079009D">
        <w:rPr>
          <w:rFonts w:asciiTheme="minorHAnsi" w:hAnsiTheme="minorHAnsi"/>
          <w:sz w:val="22"/>
          <w:lang w:val="sk-SK"/>
        </w:rPr>
        <w:t xml:space="preserve"> ďalšieho vzdelávania  a </w:t>
      </w:r>
      <w:r w:rsidR="0079009D" w:rsidRPr="0079009D">
        <w:rPr>
          <w:rFonts w:asciiTheme="minorHAnsi" w:hAnsiTheme="minorHAnsi"/>
          <w:sz w:val="22"/>
          <w:lang w:val="sk-SK"/>
        </w:rPr>
        <w:t>harmonizácia</w:t>
      </w:r>
      <w:r w:rsidR="008F15DC" w:rsidRPr="0079009D">
        <w:rPr>
          <w:rFonts w:asciiTheme="minorHAnsi" w:hAnsiTheme="minorHAnsi"/>
          <w:sz w:val="22"/>
          <w:lang w:val="sk-SK"/>
        </w:rPr>
        <w:t xml:space="preserve"> tejto ponuky s potrebami trhu práce.  Zákon je pripravovaný v širšej spolupráci so  zamestnávateľskými </w:t>
      </w:r>
      <w:r w:rsidR="0079009D" w:rsidRPr="0079009D">
        <w:rPr>
          <w:rFonts w:asciiTheme="minorHAnsi" w:hAnsiTheme="minorHAnsi"/>
          <w:sz w:val="22"/>
          <w:lang w:val="sk-SK"/>
        </w:rPr>
        <w:t>asociáciami</w:t>
      </w:r>
      <w:r w:rsidR="008F15DC" w:rsidRPr="0079009D">
        <w:rPr>
          <w:rFonts w:asciiTheme="minorHAnsi" w:hAnsiTheme="minorHAnsi"/>
          <w:sz w:val="22"/>
          <w:lang w:val="sk-SK"/>
        </w:rPr>
        <w:t xml:space="preserve">, </w:t>
      </w:r>
      <w:r w:rsidR="00354945" w:rsidRPr="0079009D">
        <w:rPr>
          <w:rFonts w:asciiTheme="minorHAnsi" w:hAnsiTheme="minorHAnsi"/>
          <w:sz w:val="22"/>
          <w:lang w:val="sk-SK"/>
        </w:rPr>
        <w:t xml:space="preserve">odbormi, univerzitami a </w:t>
      </w:r>
      <w:r w:rsidR="001C35D4">
        <w:rPr>
          <w:rFonts w:asciiTheme="minorHAnsi" w:hAnsiTheme="minorHAnsi"/>
          <w:sz w:val="22"/>
          <w:lang w:val="sk-SK"/>
        </w:rPr>
        <w:t>Slovenskou a</w:t>
      </w:r>
      <w:r w:rsidR="00354945" w:rsidRPr="0079009D">
        <w:rPr>
          <w:rFonts w:asciiTheme="minorHAnsi" w:hAnsiTheme="minorHAnsi"/>
          <w:sz w:val="22"/>
          <w:lang w:val="sk-SK"/>
        </w:rPr>
        <w:t xml:space="preserve">kademickou asociáciou </w:t>
      </w:r>
      <w:r w:rsidR="001C35D4">
        <w:rPr>
          <w:rFonts w:asciiTheme="minorHAnsi" w:hAnsiTheme="minorHAnsi"/>
          <w:sz w:val="22"/>
          <w:lang w:val="sk-SK"/>
        </w:rPr>
        <w:t xml:space="preserve">pre celoživotné </w:t>
      </w:r>
      <w:r w:rsidR="00354945" w:rsidRPr="0079009D">
        <w:rPr>
          <w:rFonts w:asciiTheme="minorHAnsi" w:hAnsiTheme="minorHAnsi"/>
          <w:sz w:val="22"/>
          <w:lang w:val="sk-SK"/>
        </w:rPr>
        <w:t>vzdelávani</w:t>
      </w:r>
      <w:r w:rsidR="001C35D4">
        <w:rPr>
          <w:rFonts w:asciiTheme="minorHAnsi" w:hAnsiTheme="minorHAnsi"/>
          <w:sz w:val="22"/>
          <w:lang w:val="sk-SK"/>
        </w:rPr>
        <w:t>e</w:t>
      </w:r>
      <w:r w:rsidR="00354945" w:rsidRPr="0079009D">
        <w:rPr>
          <w:rFonts w:asciiTheme="minorHAnsi" w:hAnsiTheme="minorHAnsi"/>
          <w:sz w:val="22"/>
          <w:lang w:val="sk-SK"/>
        </w:rPr>
        <w:t xml:space="preserve">. </w:t>
      </w:r>
    </w:p>
    <w:p w:rsidR="00E84C91" w:rsidRPr="0079009D" w:rsidRDefault="00E84C91" w:rsidP="00B121AD">
      <w:pPr>
        <w:rPr>
          <w:rFonts w:asciiTheme="minorHAnsi" w:hAnsiTheme="minorHAnsi"/>
          <w:sz w:val="22"/>
          <w:lang w:val="sk-SK"/>
        </w:rPr>
      </w:pPr>
    </w:p>
    <w:p w:rsidR="00354945" w:rsidRPr="0079009D" w:rsidRDefault="00354945" w:rsidP="00B121AD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 xml:space="preserve">V </w:t>
      </w:r>
      <w:r w:rsidR="0074503E" w:rsidRPr="0079009D">
        <w:rPr>
          <w:rFonts w:asciiTheme="minorHAnsi" w:hAnsiTheme="minorHAnsi"/>
          <w:sz w:val="22"/>
          <w:lang w:val="sk-SK"/>
        </w:rPr>
        <w:t xml:space="preserve">súvislosti s politikou </w:t>
      </w:r>
      <w:r w:rsidRPr="0079009D">
        <w:rPr>
          <w:rFonts w:asciiTheme="minorHAnsi" w:hAnsiTheme="minorHAnsi"/>
          <w:sz w:val="22"/>
          <w:lang w:val="sk-SK"/>
        </w:rPr>
        <w:t xml:space="preserve">VD sa národné agentúry zaoberajú najmä neformálnym a </w:t>
      </w:r>
      <w:proofErr w:type="spellStart"/>
      <w:r w:rsidR="0079009D" w:rsidRPr="0079009D">
        <w:rPr>
          <w:rFonts w:asciiTheme="minorHAnsi" w:hAnsiTheme="minorHAnsi"/>
          <w:sz w:val="22"/>
          <w:lang w:val="sk-SK"/>
        </w:rPr>
        <w:t>informálnym</w:t>
      </w:r>
      <w:proofErr w:type="spellEnd"/>
      <w:r w:rsidRPr="0079009D">
        <w:rPr>
          <w:rFonts w:asciiTheme="minorHAnsi" w:hAnsiTheme="minorHAnsi"/>
          <w:sz w:val="22"/>
          <w:lang w:val="sk-SK"/>
        </w:rPr>
        <w:t xml:space="preserve"> vzdelávaním. Regionálni zástupcovia sa starajú o formálne vzdelávanie a druhý stupeň (odborné školy), </w:t>
      </w:r>
      <w:r w:rsidR="00291D02" w:rsidRPr="0079009D">
        <w:rPr>
          <w:rFonts w:asciiTheme="minorHAnsi" w:hAnsiTheme="minorHAnsi"/>
          <w:sz w:val="22"/>
          <w:lang w:val="sk-SK"/>
        </w:rPr>
        <w:t>z ktorých niektoré ponúkajú aj ďalšie vzdelávanie/ kurzy VD</w:t>
      </w:r>
      <w:r w:rsidR="00B8596A">
        <w:rPr>
          <w:rFonts w:asciiTheme="minorHAnsi" w:hAnsiTheme="minorHAnsi"/>
          <w:sz w:val="22"/>
          <w:lang w:val="sk-SK"/>
        </w:rPr>
        <w:t xml:space="preserve"> vo svojich zariadeniach</w:t>
      </w:r>
      <w:r w:rsidR="00291D02" w:rsidRPr="0079009D">
        <w:rPr>
          <w:rFonts w:asciiTheme="minorHAnsi" w:hAnsiTheme="minorHAnsi"/>
          <w:sz w:val="22"/>
          <w:lang w:val="sk-SK"/>
        </w:rPr>
        <w:t>.</w:t>
      </w:r>
      <w:r w:rsidRPr="0079009D">
        <w:rPr>
          <w:rFonts w:asciiTheme="minorHAnsi" w:hAnsiTheme="minorHAnsi"/>
          <w:sz w:val="22"/>
          <w:lang w:val="sk-SK"/>
        </w:rPr>
        <w:t xml:space="preserve">  </w:t>
      </w:r>
      <w:r w:rsidR="00291D02" w:rsidRPr="0079009D">
        <w:rPr>
          <w:rFonts w:asciiTheme="minorHAnsi" w:hAnsiTheme="minorHAnsi"/>
          <w:sz w:val="22"/>
          <w:lang w:val="sk-SK"/>
        </w:rPr>
        <w:t xml:space="preserve">Z toho vyplýva aj naše zistenie, že </w:t>
      </w:r>
      <w:r w:rsidR="0079009D" w:rsidRPr="0079009D">
        <w:rPr>
          <w:rFonts w:asciiTheme="minorHAnsi" w:hAnsiTheme="minorHAnsi"/>
          <w:sz w:val="22"/>
          <w:lang w:val="sk-SK"/>
        </w:rPr>
        <w:t>koncept</w:t>
      </w:r>
      <w:r w:rsidR="00291D02" w:rsidRPr="0079009D">
        <w:rPr>
          <w:rFonts w:asciiTheme="minorHAnsi" w:hAnsiTheme="minorHAnsi"/>
          <w:sz w:val="22"/>
          <w:lang w:val="sk-SK"/>
        </w:rPr>
        <w:t xml:space="preserve"> politiky VD nie je na regionálnej úrovni rozvinutý. Je spojený s formálnym vzdelávaním a </w:t>
      </w:r>
      <w:r w:rsidR="001C35D4">
        <w:rPr>
          <w:rFonts w:asciiTheme="minorHAnsi" w:hAnsiTheme="minorHAnsi"/>
          <w:sz w:val="22"/>
          <w:lang w:val="sk-SK"/>
        </w:rPr>
        <w:t xml:space="preserve">politikou </w:t>
      </w:r>
      <w:r w:rsidR="00291D02" w:rsidRPr="0079009D">
        <w:rPr>
          <w:rFonts w:asciiTheme="minorHAnsi" w:hAnsiTheme="minorHAnsi"/>
          <w:sz w:val="22"/>
          <w:lang w:val="sk-SK"/>
        </w:rPr>
        <w:t>zn</w:t>
      </w:r>
      <w:r w:rsidR="001C35D4">
        <w:rPr>
          <w:rFonts w:asciiTheme="minorHAnsi" w:hAnsiTheme="minorHAnsi"/>
          <w:sz w:val="22"/>
          <w:lang w:val="sk-SK"/>
        </w:rPr>
        <w:t>i</w:t>
      </w:r>
      <w:r w:rsidR="00291D02" w:rsidRPr="0079009D">
        <w:rPr>
          <w:rFonts w:asciiTheme="minorHAnsi" w:hAnsiTheme="minorHAnsi"/>
          <w:sz w:val="22"/>
          <w:lang w:val="sk-SK"/>
        </w:rPr>
        <w:t>ž</w:t>
      </w:r>
      <w:r w:rsidR="001C35D4">
        <w:rPr>
          <w:rFonts w:asciiTheme="minorHAnsi" w:hAnsiTheme="minorHAnsi"/>
          <w:sz w:val="22"/>
          <w:lang w:val="sk-SK"/>
        </w:rPr>
        <w:t>ovania</w:t>
      </w:r>
      <w:r w:rsidR="00291D02" w:rsidRPr="0079009D">
        <w:rPr>
          <w:rFonts w:asciiTheme="minorHAnsi" w:hAnsiTheme="minorHAnsi"/>
          <w:sz w:val="22"/>
          <w:lang w:val="sk-SK"/>
        </w:rPr>
        <w:t xml:space="preserve"> nezamestnanos</w:t>
      </w:r>
      <w:r w:rsidR="001C35D4">
        <w:rPr>
          <w:rFonts w:asciiTheme="minorHAnsi" w:hAnsiTheme="minorHAnsi"/>
          <w:sz w:val="22"/>
          <w:lang w:val="sk-SK"/>
        </w:rPr>
        <w:t>ti.</w:t>
      </w:r>
    </w:p>
    <w:p w:rsidR="005A28FD" w:rsidRPr="0079009D" w:rsidRDefault="005A28FD" w:rsidP="00B121AD">
      <w:pPr>
        <w:rPr>
          <w:rFonts w:asciiTheme="minorHAnsi" w:hAnsiTheme="minorHAnsi"/>
          <w:sz w:val="22"/>
          <w:lang w:val="sk-SK"/>
        </w:rPr>
      </w:pPr>
    </w:p>
    <w:p w:rsidR="00276916" w:rsidRPr="0079009D" w:rsidRDefault="00276916" w:rsidP="00AA76D9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>Cieľ politiky VD bol vnímaný ako ekonomický alebo sociálny, prípadne ako kombinácia oboch. Pritom s</w:t>
      </w:r>
      <w:r w:rsidR="001C35D4">
        <w:rPr>
          <w:rFonts w:asciiTheme="minorHAnsi" w:hAnsiTheme="minorHAnsi"/>
          <w:sz w:val="22"/>
          <w:lang w:val="sk-SK"/>
        </w:rPr>
        <w:t>ociálny</w:t>
      </w:r>
      <w:r w:rsidR="0074503E" w:rsidRPr="0079009D">
        <w:rPr>
          <w:rFonts w:asciiTheme="minorHAnsi" w:hAnsiTheme="minorHAnsi"/>
          <w:sz w:val="22"/>
          <w:lang w:val="sk-SK"/>
        </w:rPr>
        <w:t xml:space="preserve"> cieľ bol prepojený s ekonomic</w:t>
      </w:r>
      <w:r w:rsidRPr="0079009D">
        <w:rPr>
          <w:rFonts w:asciiTheme="minorHAnsi" w:hAnsiTheme="minorHAnsi"/>
          <w:sz w:val="22"/>
          <w:lang w:val="sk-SK"/>
        </w:rPr>
        <w:t>kým  - ak sa zl</w:t>
      </w:r>
      <w:r w:rsidR="0074503E" w:rsidRPr="0079009D">
        <w:rPr>
          <w:rFonts w:asciiTheme="minorHAnsi" w:hAnsiTheme="minorHAnsi"/>
          <w:sz w:val="22"/>
          <w:lang w:val="sk-SK"/>
        </w:rPr>
        <w:t>epší ekonomická situácia, zlepši</w:t>
      </w:r>
      <w:r w:rsidRPr="0079009D">
        <w:rPr>
          <w:rFonts w:asciiTheme="minorHAnsi" w:hAnsiTheme="minorHAnsi"/>
          <w:sz w:val="22"/>
          <w:lang w:val="sk-SK"/>
        </w:rPr>
        <w:t>a sa aj s</w:t>
      </w:r>
      <w:r w:rsidR="0074503E" w:rsidRPr="0079009D">
        <w:rPr>
          <w:rFonts w:asciiTheme="minorHAnsi" w:hAnsiTheme="minorHAnsi"/>
          <w:sz w:val="22"/>
          <w:lang w:val="sk-SK"/>
        </w:rPr>
        <w:t>ociálne</w:t>
      </w:r>
      <w:r w:rsidRPr="0079009D">
        <w:rPr>
          <w:rFonts w:asciiTheme="minorHAnsi" w:hAnsiTheme="minorHAnsi"/>
          <w:sz w:val="22"/>
          <w:lang w:val="sk-SK"/>
        </w:rPr>
        <w:t xml:space="preserve"> podmienky. Väčšina respondentov vidí jasné spojenie me</w:t>
      </w:r>
      <w:r w:rsidR="0074503E" w:rsidRPr="0079009D">
        <w:rPr>
          <w:rFonts w:asciiTheme="minorHAnsi" w:hAnsiTheme="minorHAnsi"/>
          <w:sz w:val="22"/>
          <w:lang w:val="sk-SK"/>
        </w:rPr>
        <w:t xml:space="preserve">dzi politikou VD a aktivitami </w:t>
      </w:r>
      <w:r w:rsidRPr="0079009D">
        <w:rPr>
          <w:rFonts w:asciiTheme="minorHAnsi" w:hAnsiTheme="minorHAnsi"/>
          <w:sz w:val="22"/>
          <w:lang w:val="sk-SK"/>
        </w:rPr>
        <w:t>prepojenými s</w:t>
      </w:r>
      <w:r w:rsidR="001C35D4">
        <w:rPr>
          <w:rFonts w:asciiTheme="minorHAnsi" w:hAnsiTheme="minorHAnsi"/>
          <w:sz w:val="22"/>
          <w:lang w:val="sk-SK"/>
        </w:rPr>
        <w:t>o zamestnaním a</w:t>
      </w:r>
      <w:r w:rsidRPr="0079009D">
        <w:rPr>
          <w:rFonts w:asciiTheme="minorHAnsi" w:hAnsiTheme="minorHAnsi"/>
          <w:sz w:val="22"/>
          <w:lang w:val="sk-SK"/>
        </w:rPr>
        <w:t xml:space="preserve"> prácou.</w:t>
      </w:r>
    </w:p>
    <w:p w:rsidR="005A28FD" w:rsidRPr="0079009D" w:rsidRDefault="005A28FD" w:rsidP="00B121AD">
      <w:pPr>
        <w:rPr>
          <w:rFonts w:asciiTheme="minorHAnsi" w:hAnsiTheme="minorHAnsi"/>
          <w:sz w:val="22"/>
          <w:lang w:val="sk-SK"/>
        </w:rPr>
      </w:pPr>
    </w:p>
    <w:p w:rsidR="00276916" w:rsidRPr="0079009D" w:rsidRDefault="00276916" w:rsidP="00B121AD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 xml:space="preserve">Respondenti na národnej úrovni </w:t>
      </w:r>
      <w:r w:rsidR="0074503E" w:rsidRPr="0079009D">
        <w:rPr>
          <w:rFonts w:asciiTheme="minorHAnsi" w:hAnsiTheme="minorHAnsi"/>
          <w:sz w:val="22"/>
          <w:lang w:val="sk-SK"/>
        </w:rPr>
        <w:t>sa zhodovali</w:t>
      </w:r>
      <w:r w:rsidRPr="0079009D">
        <w:rPr>
          <w:rFonts w:asciiTheme="minorHAnsi" w:hAnsiTheme="minorHAnsi"/>
          <w:sz w:val="22"/>
          <w:lang w:val="sk-SK"/>
        </w:rPr>
        <w:t>, že politika VD je samostatná agenda, ktorá nie je zahrnutá v strategickýc</w:t>
      </w:r>
      <w:r w:rsidR="008B62FB" w:rsidRPr="0079009D">
        <w:rPr>
          <w:rFonts w:asciiTheme="minorHAnsi" w:hAnsiTheme="minorHAnsi"/>
          <w:sz w:val="22"/>
          <w:lang w:val="sk-SK"/>
        </w:rPr>
        <w:t>h</w:t>
      </w:r>
      <w:r w:rsidRPr="0079009D">
        <w:rPr>
          <w:rFonts w:asciiTheme="minorHAnsi" w:hAnsiTheme="minorHAnsi"/>
          <w:sz w:val="22"/>
          <w:lang w:val="sk-SK"/>
        </w:rPr>
        <w:t xml:space="preserve"> dokumentoch o systéme školstva</w:t>
      </w:r>
      <w:r w:rsidR="00A261DE" w:rsidRPr="0079009D">
        <w:rPr>
          <w:rFonts w:asciiTheme="minorHAnsi" w:hAnsiTheme="minorHAnsi"/>
          <w:sz w:val="22"/>
          <w:lang w:val="sk-SK"/>
        </w:rPr>
        <w:t xml:space="preserve"> a</w:t>
      </w:r>
      <w:r w:rsidR="00B73144">
        <w:rPr>
          <w:rFonts w:asciiTheme="minorHAnsi" w:hAnsiTheme="minorHAnsi"/>
          <w:sz w:val="22"/>
          <w:lang w:val="sk-SK"/>
        </w:rPr>
        <w:t> </w:t>
      </w:r>
      <w:r w:rsidR="00A261DE" w:rsidRPr="0079009D">
        <w:rPr>
          <w:rFonts w:asciiTheme="minorHAnsi" w:hAnsiTheme="minorHAnsi"/>
          <w:sz w:val="22"/>
          <w:lang w:val="sk-SK"/>
        </w:rPr>
        <w:t>pod</w:t>
      </w:r>
      <w:r w:rsidR="00B73144">
        <w:rPr>
          <w:rFonts w:asciiTheme="minorHAnsi" w:hAnsiTheme="minorHAnsi"/>
          <w:sz w:val="22"/>
          <w:lang w:val="sk-SK"/>
        </w:rPr>
        <w:t>.,</w:t>
      </w:r>
      <w:r w:rsidRPr="0079009D">
        <w:rPr>
          <w:rFonts w:asciiTheme="minorHAnsi" w:hAnsiTheme="minorHAnsi"/>
          <w:sz w:val="22"/>
          <w:lang w:val="sk-SK"/>
        </w:rPr>
        <w:t xml:space="preserve"> je </w:t>
      </w:r>
      <w:r w:rsidR="00A261DE" w:rsidRPr="0079009D">
        <w:rPr>
          <w:rFonts w:asciiTheme="minorHAnsi" w:hAnsiTheme="minorHAnsi"/>
          <w:sz w:val="22"/>
          <w:lang w:val="sk-SK"/>
        </w:rPr>
        <w:t xml:space="preserve">rámcovaná samostatným národným zákonom o celoživotnom vzdelávaní z roku 2009, ktorý je doplnený Stratégiou </w:t>
      </w:r>
      <w:r w:rsidR="0079009D" w:rsidRPr="0079009D">
        <w:rPr>
          <w:rFonts w:asciiTheme="minorHAnsi" w:hAnsiTheme="minorHAnsi"/>
          <w:sz w:val="22"/>
          <w:lang w:val="sk-SK"/>
        </w:rPr>
        <w:t>celoživotného</w:t>
      </w:r>
      <w:r w:rsidR="00A261DE" w:rsidRPr="0079009D">
        <w:rPr>
          <w:rFonts w:asciiTheme="minorHAnsi" w:hAnsiTheme="minorHAnsi"/>
          <w:sz w:val="22"/>
          <w:lang w:val="sk-SK"/>
        </w:rPr>
        <w:t xml:space="preserve"> vzdelávania</w:t>
      </w:r>
      <w:r w:rsidR="001C35D4">
        <w:rPr>
          <w:rFonts w:asciiTheme="minorHAnsi" w:hAnsiTheme="minorHAnsi"/>
          <w:sz w:val="22"/>
          <w:lang w:val="sk-SK"/>
        </w:rPr>
        <w:t xml:space="preserve"> z </w:t>
      </w:r>
      <w:r w:rsidR="00A261DE" w:rsidRPr="0079009D">
        <w:rPr>
          <w:rFonts w:asciiTheme="minorHAnsi" w:hAnsiTheme="minorHAnsi"/>
          <w:sz w:val="22"/>
          <w:lang w:val="sk-SK"/>
        </w:rPr>
        <w:t>roku 2011. Tvorcovia regionálne</w:t>
      </w:r>
      <w:r w:rsidR="00E54093" w:rsidRPr="0079009D">
        <w:rPr>
          <w:rFonts w:asciiTheme="minorHAnsi" w:hAnsiTheme="minorHAnsi"/>
          <w:sz w:val="22"/>
          <w:lang w:val="sk-SK"/>
        </w:rPr>
        <w:t>j</w:t>
      </w:r>
      <w:r w:rsidR="00A261DE" w:rsidRPr="0079009D">
        <w:rPr>
          <w:rFonts w:asciiTheme="minorHAnsi" w:hAnsiTheme="minorHAnsi"/>
          <w:sz w:val="22"/>
          <w:lang w:val="sk-SK"/>
        </w:rPr>
        <w:t xml:space="preserve"> politiky</w:t>
      </w:r>
      <w:r w:rsidR="008B62FB" w:rsidRPr="0079009D">
        <w:rPr>
          <w:rFonts w:asciiTheme="minorHAnsi" w:hAnsiTheme="minorHAnsi"/>
          <w:sz w:val="22"/>
          <w:lang w:val="sk-SK"/>
        </w:rPr>
        <w:t xml:space="preserve"> sa </w:t>
      </w:r>
      <w:r w:rsidR="0074503E" w:rsidRPr="0079009D">
        <w:rPr>
          <w:rFonts w:asciiTheme="minorHAnsi" w:hAnsiTheme="minorHAnsi"/>
          <w:sz w:val="22"/>
          <w:lang w:val="sk-SK"/>
        </w:rPr>
        <w:t>domnievali</w:t>
      </w:r>
      <w:r w:rsidR="00A261DE" w:rsidRPr="0079009D">
        <w:rPr>
          <w:rFonts w:asciiTheme="minorHAnsi" w:hAnsiTheme="minorHAnsi"/>
          <w:sz w:val="22"/>
          <w:lang w:val="sk-SK"/>
        </w:rPr>
        <w:t xml:space="preserve">, že politika VD je </w:t>
      </w:r>
      <w:r w:rsidR="00E54093" w:rsidRPr="0079009D">
        <w:rPr>
          <w:rFonts w:asciiTheme="minorHAnsi" w:hAnsiTheme="minorHAnsi"/>
          <w:sz w:val="22"/>
          <w:lang w:val="sk-SK"/>
        </w:rPr>
        <w:t xml:space="preserve">buď </w:t>
      </w:r>
      <w:r w:rsidR="00A261DE" w:rsidRPr="0079009D">
        <w:rPr>
          <w:rFonts w:asciiTheme="minorHAnsi" w:hAnsiTheme="minorHAnsi"/>
          <w:sz w:val="22"/>
          <w:lang w:val="sk-SK"/>
        </w:rPr>
        <w:t>zahrnutá v celkovej politike vzdelávania alebo</w:t>
      </w:r>
      <w:r w:rsidR="0074503E" w:rsidRPr="0079009D">
        <w:rPr>
          <w:rFonts w:asciiTheme="minorHAnsi" w:hAnsiTheme="minorHAnsi"/>
          <w:sz w:val="22"/>
          <w:lang w:val="sk-SK"/>
        </w:rPr>
        <w:t xml:space="preserve"> tam</w:t>
      </w:r>
      <w:r w:rsidR="00A261DE" w:rsidRPr="0079009D">
        <w:rPr>
          <w:rFonts w:asciiTheme="minorHAnsi" w:hAnsiTheme="minorHAnsi"/>
          <w:sz w:val="22"/>
          <w:lang w:val="sk-SK"/>
        </w:rPr>
        <w:t xml:space="preserve"> jednoducho nie je. </w:t>
      </w:r>
    </w:p>
    <w:p w:rsidR="00BF258B" w:rsidRPr="0079009D" w:rsidRDefault="00BF258B" w:rsidP="00B121AD">
      <w:pPr>
        <w:rPr>
          <w:rFonts w:asciiTheme="minorHAnsi" w:hAnsiTheme="minorHAnsi"/>
          <w:sz w:val="22"/>
          <w:lang w:val="sk-SK"/>
        </w:rPr>
      </w:pPr>
    </w:p>
    <w:p w:rsidR="0074503E" w:rsidRPr="0079009D" w:rsidRDefault="0074503E" w:rsidP="00B121AD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>Všetci respondenti  sa zhodli, že kedykoľvek sa púšťali do určite</w:t>
      </w:r>
      <w:r w:rsidR="00E54093" w:rsidRPr="0079009D">
        <w:rPr>
          <w:rFonts w:asciiTheme="minorHAnsi" w:hAnsiTheme="minorHAnsi"/>
          <w:sz w:val="22"/>
          <w:lang w:val="sk-SK"/>
        </w:rPr>
        <w:t>j</w:t>
      </w:r>
      <w:r w:rsidRPr="0079009D">
        <w:rPr>
          <w:rFonts w:asciiTheme="minorHAnsi" w:hAnsiTheme="minorHAnsi"/>
          <w:sz w:val="22"/>
          <w:lang w:val="sk-SK"/>
        </w:rPr>
        <w:t xml:space="preserve"> iniciatívy, konzultovali ju. Neexistuje </w:t>
      </w:r>
      <w:r w:rsidR="001C35D4">
        <w:rPr>
          <w:rFonts w:asciiTheme="minorHAnsi" w:hAnsiTheme="minorHAnsi"/>
          <w:sz w:val="22"/>
          <w:lang w:val="sk-SK"/>
        </w:rPr>
        <w:t xml:space="preserve">však zaužívaná </w:t>
      </w:r>
      <w:r w:rsidRPr="0079009D">
        <w:rPr>
          <w:rFonts w:asciiTheme="minorHAnsi" w:hAnsiTheme="minorHAnsi"/>
          <w:sz w:val="22"/>
          <w:lang w:val="sk-SK"/>
        </w:rPr>
        <w:t>prax</w:t>
      </w:r>
      <w:r w:rsidR="001C35D4">
        <w:rPr>
          <w:rFonts w:asciiTheme="minorHAnsi" w:hAnsiTheme="minorHAnsi"/>
          <w:sz w:val="22"/>
          <w:lang w:val="sk-SK"/>
        </w:rPr>
        <w:t>,</w:t>
      </w:r>
      <w:r w:rsidRPr="0079009D">
        <w:rPr>
          <w:rFonts w:asciiTheme="minorHAnsi" w:hAnsiTheme="minorHAnsi"/>
          <w:sz w:val="22"/>
          <w:lang w:val="sk-SK"/>
        </w:rPr>
        <w:t xml:space="preserve"> podľa ktorej by sa </w:t>
      </w:r>
      <w:r w:rsidR="0079009D" w:rsidRPr="0079009D">
        <w:rPr>
          <w:rFonts w:asciiTheme="minorHAnsi" w:hAnsiTheme="minorHAnsi"/>
          <w:sz w:val="22"/>
          <w:lang w:val="sk-SK"/>
        </w:rPr>
        <w:t>pripravo</w:t>
      </w:r>
      <w:r w:rsidR="0079009D">
        <w:rPr>
          <w:rFonts w:asciiTheme="minorHAnsi" w:hAnsiTheme="minorHAnsi"/>
          <w:sz w:val="22"/>
          <w:lang w:val="sk-SK"/>
        </w:rPr>
        <w:t>va</w:t>
      </w:r>
      <w:r w:rsidR="0079009D" w:rsidRPr="0079009D">
        <w:rPr>
          <w:rFonts w:asciiTheme="minorHAnsi" w:hAnsiTheme="minorHAnsi"/>
          <w:sz w:val="22"/>
          <w:lang w:val="sk-SK"/>
        </w:rPr>
        <w:t>lo</w:t>
      </w:r>
      <w:r w:rsidR="00E54093" w:rsidRPr="0079009D">
        <w:rPr>
          <w:rFonts w:asciiTheme="minorHAnsi" w:hAnsiTheme="minorHAnsi"/>
          <w:sz w:val="22"/>
          <w:lang w:val="sk-SK"/>
        </w:rPr>
        <w:t xml:space="preserve"> niečo ako </w:t>
      </w:r>
      <w:r w:rsidRPr="0079009D">
        <w:rPr>
          <w:rFonts w:asciiTheme="minorHAnsi" w:hAnsiTheme="minorHAnsi"/>
          <w:sz w:val="22"/>
          <w:lang w:val="sk-SK"/>
        </w:rPr>
        <w:t xml:space="preserve"> Zelené knihy, napriek tomu </w:t>
      </w:r>
      <w:r w:rsidR="00E54093" w:rsidRPr="0079009D">
        <w:rPr>
          <w:rFonts w:asciiTheme="minorHAnsi" w:hAnsiTheme="minorHAnsi"/>
          <w:sz w:val="22"/>
          <w:lang w:val="sk-SK"/>
        </w:rPr>
        <w:t>orgány, ktoré sú zodpovedné za prípravu určitých dokumentov</w:t>
      </w:r>
      <w:r w:rsidR="00DC350B" w:rsidRPr="0079009D">
        <w:rPr>
          <w:rFonts w:asciiTheme="minorHAnsi" w:hAnsiTheme="minorHAnsi"/>
          <w:sz w:val="22"/>
          <w:lang w:val="sk-SK"/>
        </w:rPr>
        <w:t>,</w:t>
      </w:r>
      <w:r w:rsidRPr="0079009D">
        <w:rPr>
          <w:rFonts w:asciiTheme="minorHAnsi" w:hAnsiTheme="minorHAnsi"/>
          <w:sz w:val="22"/>
          <w:lang w:val="sk-SK"/>
        </w:rPr>
        <w:t xml:space="preserve"> </w:t>
      </w:r>
      <w:r w:rsidR="00DC350B" w:rsidRPr="0079009D">
        <w:rPr>
          <w:rFonts w:asciiTheme="minorHAnsi" w:hAnsiTheme="minorHAnsi"/>
          <w:sz w:val="22"/>
          <w:lang w:val="sk-SK"/>
        </w:rPr>
        <w:t>konzultácie robia</w:t>
      </w:r>
      <w:r w:rsidR="00E54093" w:rsidRPr="0079009D">
        <w:rPr>
          <w:rFonts w:asciiTheme="minorHAnsi" w:hAnsiTheme="minorHAnsi"/>
          <w:sz w:val="22"/>
          <w:lang w:val="sk-SK"/>
        </w:rPr>
        <w:t xml:space="preserve">. Zainteresované osoby/inštitúcie </w:t>
      </w:r>
      <w:r w:rsidR="00B73144">
        <w:rPr>
          <w:rFonts w:asciiTheme="minorHAnsi" w:hAnsiTheme="minorHAnsi"/>
          <w:sz w:val="22"/>
          <w:lang w:val="sk-SK"/>
        </w:rPr>
        <w:t>s ktorými sa konzultuje,</w:t>
      </w:r>
      <w:r w:rsidR="00DC350B" w:rsidRPr="0079009D">
        <w:rPr>
          <w:rFonts w:asciiTheme="minorHAnsi" w:hAnsiTheme="minorHAnsi"/>
          <w:sz w:val="22"/>
          <w:lang w:val="sk-SK"/>
        </w:rPr>
        <w:t xml:space="preserve"> </w:t>
      </w:r>
      <w:r w:rsidR="00E54093" w:rsidRPr="0079009D">
        <w:rPr>
          <w:rFonts w:asciiTheme="minorHAnsi" w:hAnsiTheme="minorHAnsi"/>
          <w:sz w:val="22"/>
          <w:lang w:val="sk-SK"/>
        </w:rPr>
        <w:t xml:space="preserve">sú identifikované na základe predpísaného zoznamu, alebo </w:t>
      </w:r>
      <w:r w:rsidR="0079009D" w:rsidRPr="0079009D">
        <w:rPr>
          <w:rFonts w:asciiTheme="minorHAnsi" w:hAnsiTheme="minorHAnsi"/>
          <w:sz w:val="22"/>
          <w:lang w:val="sk-SK"/>
        </w:rPr>
        <w:t>pozvani</w:t>
      </w:r>
      <w:r w:rsidR="00B73144">
        <w:rPr>
          <w:rFonts w:asciiTheme="minorHAnsi" w:hAnsiTheme="minorHAnsi"/>
          <w:sz w:val="22"/>
          <w:lang w:val="sk-SK"/>
        </w:rPr>
        <w:t>e</w:t>
      </w:r>
      <w:r w:rsidR="00E54093" w:rsidRPr="0079009D">
        <w:rPr>
          <w:rFonts w:asciiTheme="minorHAnsi" w:hAnsiTheme="minorHAnsi"/>
          <w:sz w:val="22"/>
          <w:lang w:val="sk-SK"/>
        </w:rPr>
        <w:t xml:space="preserve"> </w:t>
      </w:r>
      <w:r w:rsidR="00153A06" w:rsidRPr="0079009D">
        <w:rPr>
          <w:rFonts w:asciiTheme="minorHAnsi" w:hAnsiTheme="minorHAnsi"/>
          <w:sz w:val="22"/>
          <w:lang w:val="sk-SK"/>
        </w:rPr>
        <w:t xml:space="preserve">na </w:t>
      </w:r>
      <w:r w:rsidR="00B73144">
        <w:rPr>
          <w:rFonts w:asciiTheme="minorHAnsi" w:hAnsiTheme="minorHAnsi"/>
          <w:sz w:val="22"/>
          <w:lang w:val="sk-SK"/>
        </w:rPr>
        <w:t>konzultáciu vychádza</w:t>
      </w:r>
      <w:r w:rsidR="00E54093" w:rsidRPr="0079009D">
        <w:rPr>
          <w:rFonts w:asciiTheme="minorHAnsi" w:hAnsiTheme="minorHAnsi"/>
          <w:sz w:val="22"/>
          <w:lang w:val="sk-SK"/>
        </w:rPr>
        <w:t xml:space="preserve"> z pr</w:t>
      </w:r>
      <w:r w:rsidR="00153A06" w:rsidRPr="0079009D">
        <w:rPr>
          <w:rFonts w:asciiTheme="minorHAnsi" w:hAnsiTheme="minorHAnsi"/>
          <w:sz w:val="22"/>
          <w:lang w:val="sk-SK"/>
        </w:rPr>
        <w:t>e</w:t>
      </w:r>
      <w:r w:rsidR="00E54093" w:rsidRPr="0079009D">
        <w:rPr>
          <w:rFonts w:asciiTheme="minorHAnsi" w:hAnsiTheme="minorHAnsi"/>
          <w:sz w:val="22"/>
          <w:lang w:val="sk-SK"/>
        </w:rPr>
        <w:t xml:space="preserve">dchádzajúcich </w:t>
      </w:r>
      <w:r w:rsidR="008318F8">
        <w:rPr>
          <w:rFonts w:asciiTheme="minorHAnsi" w:hAnsiTheme="minorHAnsi"/>
          <w:sz w:val="22"/>
          <w:lang w:val="sk-SK"/>
        </w:rPr>
        <w:t>skúseností a spolupráce</w:t>
      </w:r>
      <w:r w:rsidR="00E54093" w:rsidRPr="0079009D">
        <w:rPr>
          <w:rFonts w:asciiTheme="minorHAnsi" w:hAnsiTheme="minorHAnsi"/>
          <w:sz w:val="22"/>
          <w:lang w:val="sk-SK"/>
        </w:rPr>
        <w:t>. Hlavnými partnermi /</w:t>
      </w:r>
      <w:proofErr w:type="spellStart"/>
      <w:r w:rsidR="00E54093" w:rsidRPr="0079009D">
        <w:rPr>
          <w:rFonts w:asciiTheme="minorHAnsi" w:hAnsiTheme="minorHAnsi"/>
          <w:sz w:val="22"/>
          <w:lang w:val="sk-SK"/>
        </w:rPr>
        <w:t>stakeholdermi</w:t>
      </w:r>
      <w:proofErr w:type="spellEnd"/>
      <w:r w:rsidR="00E54093" w:rsidRPr="0079009D">
        <w:rPr>
          <w:rFonts w:asciiTheme="minorHAnsi" w:hAnsiTheme="minorHAnsi"/>
          <w:sz w:val="22"/>
          <w:lang w:val="sk-SK"/>
        </w:rPr>
        <w:t xml:space="preserve"> </w:t>
      </w:r>
      <w:r w:rsidR="008318F8">
        <w:rPr>
          <w:rFonts w:asciiTheme="minorHAnsi" w:hAnsiTheme="minorHAnsi"/>
          <w:sz w:val="22"/>
          <w:lang w:val="sk-SK"/>
        </w:rPr>
        <w:t xml:space="preserve">v danej oblasti </w:t>
      </w:r>
      <w:r w:rsidR="00E54093" w:rsidRPr="0079009D">
        <w:rPr>
          <w:rFonts w:asciiTheme="minorHAnsi" w:hAnsiTheme="minorHAnsi"/>
          <w:sz w:val="22"/>
          <w:lang w:val="sk-SK"/>
        </w:rPr>
        <w:t xml:space="preserve">sú obchodné asociácie/ súkromný </w:t>
      </w:r>
      <w:r w:rsidR="0079009D" w:rsidRPr="0079009D">
        <w:rPr>
          <w:rFonts w:asciiTheme="minorHAnsi" w:hAnsiTheme="minorHAnsi"/>
          <w:sz w:val="22"/>
          <w:lang w:val="sk-SK"/>
        </w:rPr>
        <w:t>sektor</w:t>
      </w:r>
      <w:r w:rsidR="00B73144">
        <w:rPr>
          <w:rFonts w:asciiTheme="minorHAnsi" w:hAnsiTheme="minorHAnsi"/>
          <w:sz w:val="22"/>
          <w:lang w:val="sk-SK"/>
        </w:rPr>
        <w:t>,</w:t>
      </w:r>
      <w:r w:rsidR="00E54093" w:rsidRPr="0079009D">
        <w:rPr>
          <w:rFonts w:asciiTheme="minorHAnsi" w:hAnsiTheme="minorHAnsi"/>
          <w:sz w:val="22"/>
          <w:lang w:val="sk-SK"/>
        </w:rPr>
        <w:t xml:space="preserve"> ako zástupcovia zamestnávateľov z hľadiska regi</w:t>
      </w:r>
      <w:r w:rsidR="00153A06" w:rsidRPr="0079009D">
        <w:rPr>
          <w:rFonts w:asciiTheme="minorHAnsi" w:hAnsiTheme="minorHAnsi"/>
          <w:sz w:val="22"/>
          <w:lang w:val="sk-SK"/>
        </w:rPr>
        <w:t>ónu</w:t>
      </w:r>
      <w:r w:rsidR="00B73144">
        <w:rPr>
          <w:rFonts w:asciiTheme="minorHAnsi" w:hAnsiTheme="minorHAnsi"/>
          <w:sz w:val="22"/>
          <w:lang w:val="sk-SK"/>
        </w:rPr>
        <w:t>,</w:t>
      </w:r>
      <w:r w:rsidR="00153A06" w:rsidRPr="0079009D">
        <w:rPr>
          <w:rFonts w:asciiTheme="minorHAnsi" w:hAnsiTheme="minorHAnsi"/>
          <w:sz w:val="22"/>
          <w:lang w:val="sk-SK"/>
        </w:rPr>
        <w:t xml:space="preserve"> a tiež</w:t>
      </w:r>
      <w:r w:rsidR="00E54093" w:rsidRPr="0079009D">
        <w:rPr>
          <w:rFonts w:asciiTheme="minorHAnsi" w:hAnsiTheme="minorHAnsi"/>
          <w:sz w:val="22"/>
          <w:lang w:val="sk-SK"/>
        </w:rPr>
        <w:t xml:space="preserve"> </w:t>
      </w:r>
      <w:r w:rsidR="0079009D" w:rsidRPr="0079009D">
        <w:rPr>
          <w:rFonts w:asciiTheme="minorHAnsi" w:hAnsiTheme="minorHAnsi"/>
          <w:sz w:val="22"/>
          <w:lang w:val="sk-SK"/>
        </w:rPr>
        <w:t>univerzity</w:t>
      </w:r>
      <w:r w:rsidR="00E54093" w:rsidRPr="0079009D">
        <w:rPr>
          <w:rFonts w:asciiTheme="minorHAnsi" w:hAnsiTheme="minorHAnsi"/>
          <w:sz w:val="22"/>
          <w:lang w:val="sk-SK"/>
        </w:rPr>
        <w:t xml:space="preserve"> </w:t>
      </w:r>
      <w:r w:rsidR="00153A06" w:rsidRPr="0079009D">
        <w:rPr>
          <w:rFonts w:asciiTheme="minorHAnsi" w:hAnsiTheme="minorHAnsi"/>
          <w:sz w:val="22"/>
          <w:lang w:val="sk-SK"/>
        </w:rPr>
        <w:t xml:space="preserve">a občianska spoločnosť z pohľadu organizácií na národnej úrovni. Konzultácie , ak je to potrebné, prebiehajú na začiatku celého procesu a správy o konzultačnom  procese sa </w:t>
      </w:r>
      <w:r w:rsidR="008318F8">
        <w:rPr>
          <w:rFonts w:asciiTheme="minorHAnsi" w:hAnsiTheme="minorHAnsi"/>
          <w:sz w:val="22"/>
          <w:lang w:val="sk-SK"/>
        </w:rPr>
        <w:t xml:space="preserve">spravidla </w:t>
      </w:r>
      <w:r w:rsidR="00153A06" w:rsidRPr="0079009D">
        <w:rPr>
          <w:rFonts w:asciiTheme="minorHAnsi" w:hAnsiTheme="minorHAnsi"/>
          <w:sz w:val="22"/>
          <w:lang w:val="sk-SK"/>
        </w:rPr>
        <w:t>nerobia</w:t>
      </w:r>
      <w:r w:rsidR="008318F8">
        <w:rPr>
          <w:rFonts w:asciiTheme="minorHAnsi" w:hAnsiTheme="minorHAnsi"/>
          <w:sz w:val="22"/>
          <w:lang w:val="sk-SK"/>
        </w:rPr>
        <w:t>. Výnimkou je proces prípravy legislatívneho dokumentu</w:t>
      </w:r>
      <w:r w:rsidR="00153A06" w:rsidRPr="0079009D">
        <w:rPr>
          <w:rFonts w:asciiTheme="minorHAnsi" w:hAnsiTheme="minorHAnsi"/>
          <w:sz w:val="22"/>
          <w:lang w:val="sk-SK"/>
        </w:rPr>
        <w:t xml:space="preserve">, </w:t>
      </w:r>
      <w:r w:rsidR="008318F8">
        <w:rPr>
          <w:rFonts w:asciiTheme="minorHAnsi" w:hAnsiTheme="minorHAnsi"/>
          <w:sz w:val="22"/>
          <w:lang w:val="sk-SK"/>
        </w:rPr>
        <w:t xml:space="preserve">kde je </w:t>
      </w:r>
      <w:r w:rsidR="0079009D" w:rsidRPr="0079009D">
        <w:rPr>
          <w:rFonts w:asciiTheme="minorHAnsi" w:hAnsiTheme="minorHAnsi"/>
          <w:sz w:val="22"/>
          <w:lang w:val="sk-SK"/>
        </w:rPr>
        <w:t>proces</w:t>
      </w:r>
      <w:r w:rsidR="00153A06" w:rsidRPr="0079009D">
        <w:rPr>
          <w:rFonts w:asciiTheme="minorHAnsi" w:hAnsiTheme="minorHAnsi"/>
          <w:sz w:val="22"/>
          <w:lang w:val="sk-SK"/>
        </w:rPr>
        <w:t xml:space="preserve"> konzultácií formalizovaný a </w:t>
      </w:r>
      <w:r w:rsidR="0079009D" w:rsidRPr="0079009D">
        <w:rPr>
          <w:rFonts w:asciiTheme="minorHAnsi" w:hAnsiTheme="minorHAnsi"/>
          <w:sz w:val="22"/>
          <w:lang w:val="sk-SK"/>
        </w:rPr>
        <w:t>komentáre</w:t>
      </w:r>
      <w:r w:rsidR="00153A06" w:rsidRPr="0079009D">
        <w:rPr>
          <w:rFonts w:asciiTheme="minorHAnsi" w:hAnsiTheme="minorHAnsi"/>
          <w:sz w:val="22"/>
          <w:lang w:val="sk-SK"/>
        </w:rPr>
        <w:t xml:space="preserve"> </w:t>
      </w:r>
      <w:r w:rsidR="008318F8">
        <w:rPr>
          <w:rFonts w:asciiTheme="minorHAnsi" w:hAnsiTheme="minorHAnsi"/>
          <w:sz w:val="22"/>
          <w:lang w:val="sk-SK"/>
        </w:rPr>
        <w:t>k návrhu zákona sú zhrnuté v dôvodovej správe.</w:t>
      </w:r>
    </w:p>
    <w:p w:rsidR="00AA76D9" w:rsidRPr="0079009D" w:rsidRDefault="00AA76D9" w:rsidP="00B121AD">
      <w:pPr>
        <w:rPr>
          <w:rFonts w:asciiTheme="minorHAnsi" w:hAnsiTheme="minorHAnsi"/>
          <w:sz w:val="22"/>
          <w:lang w:val="sk-SK"/>
        </w:rPr>
      </w:pPr>
    </w:p>
    <w:p w:rsidR="00153A06" w:rsidRPr="0079009D" w:rsidRDefault="00153A06" w:rsidP="00B121AD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>Respondenti potvrdili</w:t>
      </w:r>
      <w:r w:rsidR="00DC350B" w:rsidRPr="0079009D">
        <w:rPr>
          <w:rFonts w:asciiTheme="minorHAnsi" w:hAnsiTheme="minorHAnsi"/>
          <w:sz w:val="22"/>
          <w:lang w:val="sk-SK"/>
        </w:rPr>
        <w:t>,</w:t>
      </w:r>
      <w:r w:rsidRPr="0079009D">
        <w:rPr>
          <w:rFonts w:asciiTheme="minorHAnsi" w:hAnsiTheme="minorHAnsi"/>
          <w:sz w:val="22"/>
          <w:lang w:val="sk-SK"/>
        </w:rPr>
        <w:t xml:space="preserve"> že sa využívajú aj interné konzultácie, </w:t>
      </w:r>
      <w:r w:rsidR="008318F8">
        <w:rPr>
          <w:rFonts w:asciiTheme="minorHAnsi" w:hAnsiTheme="minorHAnsi"/>
          <w:sz w:val="22"/>
          <w:lang w:val="sk-SK"/>
        </w:rPr>
        <w:t xml:space="preserve">v rámci úradu, </w:t>
      </w:r>
      <w:r w:rsidRPr="0079009D">
        <w:rPr>
          <w:rFonts w:asciiTheme="minorHAnsi" w:hAnsiTheme="minorHAnsi"/>
          <w:sz w:val="22"/>
          <w:lang w:val="sk-SK"/>
        </w:rPr>
        <w:t xml:space="preserve">s cieľom harmonizovať </w:t>
      </w:r>
      <w:r w:rsidR="008318F8">
        <w:rPr>
          <w:rFonts w:asciiTheme="minorHAnsi" w:hAnsiTheme="minorHAnsi"/>
          <w:sz w:val="22"/>
          <w:lang w:val="sk-SK"/>
        </w:rPr>
        <w:t>pripravovanú politiku s inými politikami</w:t>
      </w:r>
      <w:r w:rsidRPr="0079009D">
        <w:rPr>
          <w:rFonts w:asciiTheme="minorHAnsi" w:hAnsiTheme="minorHAnsi"/>
          <w:sz w:val="22"/>
          <w:lang w:val="sk-SK"/>
        </w:rPr>
        <w:t xml:space="preserve">. </w:t>
      </w:r>
      <w:r w:rsidR="00143959" w:rsidRPr="0079009D">
        <w:rPr>
          <w:rFonts w:asciiTheme="minorHAnsi" w:hAnsiTheme="minorHAnsi"/>
          <w:sz w:val="22"/>
          <w:lang w:val="sk-SK"/>
        </w:rPr>
        <w:t>Takéto interné</w:t>
      </w:r>
      <w:r w:rsidRPr="0079009D">
        <w:rPr>
          <w:rFonts w:asciiTheme="minorHAnsi" w:hAnsiTheme="minorHAnsi"/>
          <w:sz w:val="22"/>
          <w:lang w:val="sk-SK"/>
        </w:rPr>
        <w:t xml:space="preserve"> konzultácie sú zvyčajne neformálne. Tiež sa </w:t>
      </w:r>
      <w:r w:rsidR="008318F8">
        <w:rPr>
          <w:rFonts w:asciiTheme="minorHAnsi" w:hAnsiTheme="minorHAnsi"/>
          <w:sz w:val="22"/>
          <w:lang w:val="sk-SK"/>
        </w:rPr>
        <w:t xml:space="preserve">pri príprave </w:t>
      </w:r>
      <w:r w:rsidRPr="0079009D">
        <w:rPr>
          <w:rFonts w:asciiTheme="minorHAnsi" w:hAnsiTheme="minorHAnsi"/>
          <w:sz w:val="22"/>
          <w:lang w:val="sk-SK"/>
        </w:rPr>
        <w:t xml:space="preserve">berú do úvahy </w:t>
      </w:r>
      <w:r w:rsidR="00143959" w:rsidRPr="0079009D">
        <w:rPr>
          <w:rFonts w:asciiTheme="minorHAnsi" w:hAnsiTheme="minorHAnsi"/>
          <w:sz w:val="22"/>
          <w:lang w:val="sk-SK"/>
        </w:rPr>
        <w:t xml:space="preserve">aj </w:t>
      </w:r>
      <w:r w:rsidR="008318F8">
        <w:rPr>
          <w:rFonts w:asciiTheme="minorHAnsi" w:hAnsiTheme="minorHAnsi"/>
          <w:sz w:val="22"/>
          <w:lang w:val="sk-SK"/>
        </w:rPr>
        <w:t xml:space="preserve">rôzne rámcové a strategické </w:t>
      </w:r>
      <w:r w:rsidRPr="0079009D">
        <w:rPr>
          <w:rFonts w:asciiTheme="minorHAnsi" w:hAnsiTheme="minorHAnsi"/>
          <w:sz w:val="22"/>
          <w:lang w:val="sk-SK"/>
        </w:rPr>
        <w:t>dokumenty/</w:t>
      </w:r>
      <w:r w:rsidR="0079009D" w:rsidRPr="0079009D">
        <w:rPr>
          <w:rFonts w:asciiTheme="minorHAnsi" w:hAnsiTheme="minorHAnsi"/>
          <w:sz w:val="22"/>
          <w:lang w:val="sk-SK"/>
        </w:rPr>
        <w:t>programy</w:t>
      </w:r>
      <w:r w:rsidR="00B73144">
        <w:rPr>
          <w:rFonts w:asciiTheme="minorHAnsi" w:hAnsiTheme="minorHAnsi"/>
          <w:sz w:val="22"/>
          <w:lang w:val="sk-SK"/>
        </w:rPr>
        <w:t xml:space="preserve"> – na národnej úrovni: </w:t>
      </w:r>
      <w:r w:rsidR="00B73144">
        <w:rPr>
          <w:rFonts w:asciiTheme="minorHAnsi" w:hAnsiTheme="minorHAnsi"/>
          <w:sz w:val="22"/>
          <w:lang w:val="sk-SK"/>
        </w:rPr>
        <w:lastRenderedPageBreak/>
        <w:t>V</w:t>
      </w:r>
      <w:r w:rsidRPr="0079009D">
        <w:rPr>
          <w:rFonts w:asciiTheme="minorHAnsi" w:hAnsiTheme="minorHAnsi"/>
          <w:sz w:val="22"/>
          <w:lang w:val="sk-SK"/>
        </w:rPr>
        <w:t>ládny program, Zákon o celoživotnom vzdelávaní a Stratégia celoživotného vzdelávania. Na úrovni EÚ</w:t>
      </w:r>
      <w:r w:rsidR="00143959" w:rsidRPr="0079009D">
        <w:rPr>
          <w:rFonts w:asciiTheme="minorHAnsi" w:hAnsiTheme="minorHAnsi"/>
          <w:sz w:val="22"/>
          <w:lang w:val="sk-SK"/>
        </w:rPr>
        <w:t xml:space="preserve">: Európa 2020, dokumenty týkajúce sa </w:t>
      </w:r>
      <w:r w:rsidR="0079009D" w:rsidRPr="0079009D">
        <w:rPr>
          <w:rFonts w:asciiTheme="minorHAnsi" w:hAnsiTheme="minorHAnsi"/>
          <w:sz w:val="22"/>
          <w:lang w:val="sk-SK"/>
        </w:rPr>
        <w:t>štrukturálnych</w:t>
      </w:r>
      <w:r w:rsidR="00143959" w:rsidRPr="0079009D">
        <w:rPr>
          <w:rFonts w:asciiTheme="minorHAnsi" w:hAnsiTheme="minorHAnsi"/>
          <w:sz w:val="22"/>
          <w:lang w:val="sk-SK"/>
        </w:rPr>
        <w:t xml:space="preserve"> fondov a osta</w:t>
      </w:r>
      <w:r w:rsidR="00B73144">
        <w:rPr>
          <w:rFonts w:asciiTheme="minorHAnsi" w:hAnsiTheme="minorHAnsi"/>
          <w:sz w:val="22"/>
          <w:lang w:val="sk-SK"/>
        </w:rPr>
        <w:t>t</w:t>
      </w:r>
      <w:r w:rsidR="00143959" w:rsidRPr="0079009D">
        <w:rPr>
          <w:rFonts w:asciiTheme="minorHAnsi" w:hAnsiTheme="minorHAnsi"/>
          <w:sz w:val="22"/>
          <w:lang w:val="sk-SK"/>
        </w:rPr>
        <w:t>n</w:t>
      </w:r>
      <w:r w:rsidR="00B73144">
        <w:rPr>
          <w:rFonts w:asciiTheme="minorHAnsi" w:hAnsiTheme="minorHAnsi"/>
          <w:sz w:val="22"/>
          <w:lang w:val="sk-SK"/>
        </w:rPr>
        <w:t>é</w:t>
      </w:r>
      <w:r w:rsidR="00143959" w:rsidRPr="0079009D">
        <w:rPr>
          <w:rFonts w:asciiTheme="minorHAnsi" w:hAnsiTheme="minorHAnsi"/>
          <w:sz w:val="22"/>
          <w:lang w:val="sk-SK"/>
        </w:rPr>
        <w:t xml:space="preserve"> dokumenty súvisiace s VD. Čo sa týka zdro</w:t>
      </w:r>
      <w:r w:rsidR="00DC350B" w:rsidRPr="0079009D">
        <w:rPr>
          <w:rFonts w:asciiTheme="minorHAnsi" w:hAnsiTheme="minorHAnsi"/>
          <w:sz w:val="22"/>
          <w:lang w:val="sk-SK"/>
        </w:rPr>
        <w:t>jo</w:t>
      </w:r>
      <w:r w:rsidR="00143959" w:rsidRPr="0079009D">
        <w:rPr>
          <w:rFonts w:asciiTheme="minorHAnsi" w:hAnsiTheme="minorHAnsi"/>
          <w:sz w:val="22"/>
          <w:lang w:val="sk-SK"/>
        </w:rPr>
        <w:t>v dát, využívajú sa d</w:t>
      </w:r>
      <w:r w:rsidR="00DC350B" w:rsidRPr="0079009D">
        <w:rPr>
          <w:rFonts w:asciiTheme="minorHAnsi" w:hAnsiTheme="minorHAnsi"/>
          <w:sz w:val="22"/>
          <w:lang w:val="sk-SK"/>
        </w:rPr>
        <w:t>á</w:t>
      </w:r>
      <w:r w:rsidR="00143959" w:rsidRPr="0079009D">
        <w:rPr>
          <w:rFonts w:asciiTheme="minorHAnsi" w:hAnsiTheme="minorHAnsi"/>
          <w:sz w:val="22"/>
          <w:lang w:val="sk-SK"/>
        </w:rPr>
        <w:t xml:space="preserve">ta Eurostatu, Národného štatistického úradu (napr. o </w:t>
      </w:r>
      <w:r w:rsidR="0079009D" w:rsidRPr="0079009D">
        <w:rPr>
          <w:rFonts w:asciiTheme="minorHAnsi" w:hAnsiTheme="minorHAnsi"/>
          <w:sz w:val="22"/>
          <w:lang w:val="sk-SK"/>
        </w:rPr>
        <w:t>ďalšom</w:t>
      </w:r>
      <w:r w:rsidR="00143959" w:rsidRPr="0079009D">
        <w:rPr>
          <w:rFonts w:asciiTheme="minorHAnsi" w:hAnsiTheme="minorHAnsi"/>
          <w:sz w:val="22"/>
          <w:lang w:val="sk-SK"/>
        </w:rPr>
        <w:t xml:space="preserve"> vzdelávaní), regionálne štatistiky. Podľa všetkých respondentov, konečné dokumenty sú k dispozícii, hoci napr. zápisnice zo zasadnutí, alebo zhrnutie komentárov z neformálnych konzultácií nie sú zverejnené. Iná situácia je počas </w:t>
      </w:r>
      <w:r w:rsidR="0079009D" w:rsidRPr="0079009D">
        <w:rPr>
          <w:rFonts w:asciiTheme="minorHAnsi" w:hAnsiTheme="minorHAnsi"/>
          <w:sz w:val="22"/>
          <w:lang w:val="sk-SK"/>
        </w:rPr>
        <w:t>prípravy</w:t>
      </w:r>
      <w:r w:rsidR="00143959" w:rsidRPr="0079009D">
        <w:rPr>
          <w:rFonts w:asciiTheme="minorHAnsi" w:hAnsiTheme="minorHAnsi"/>
          <w:sz w:val="22"/>
          <w:lang w:val="sk-SK"/>
        </w:rPr>
        <w:t xml:space="preserve"> nových zákonov, kedy všetky komentáre sú zozbierané spolu s </w:t>
      </w:r>
      <w:r w:rsidR="00DC350B" w:rsidRPr="0079009D">
        <w:rPr>
          <w:rFonts w:asciiTheme="minorHAnsi" w:hAnsiTheme="minorHAnsi"/>
          <w:sz w:val="22"/>
          <w:lang w:val="sk-SK"/>
        </w:rPr>
        <w:t xml:space="preserve">reakciami </w:t>
      </w:r>
      <w:r w:rsidR="00143959" w:rsidRPr="0079009D">
        <w:rPr>
          <w:rFonts w:asciiTheme="minorHAnsi" w:hAnsiTheme="minorHAnsi"/>
          <w:sz w:val="22"/>
          <w:lang w:val="sk-SK"/>
        </w:rPr>
        <w:t xml:space="preserve"> alebo konečnými riešeniami. </w:t>
      </w:r>
    </w:p>
    <w:p w:rsidR="00107691" w:rsidRPr="0079009D" w:rsidRDefault="00107691" w:rsidP="009B31F5">
      <w:pPr>
        <w:rPr>
          <w:rFonts w:asciiTheme="minorHAnsi" w:hAnsiTheme="minorHAnsi"/>
          <w:sz w:val="22"/>
          <w:lang w:val="sk-SK"/>
        </w:rPr>
      </w:pPr>
    </w:p>
    <w:p w:rsidR="00DC350B" w:rsidRPr="0079009D" w:rsidRDefault="00DC350B" w:rsidP="009B31F5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>Na regionálnej úrovni s</w:t>
      </w:r>
      <w:r w:rsidR="008318F8">
        <w:rPr>
          <w:rFonts w:asciiTheme="minorHAnsi" w:hAnsiTheme="minorHAnsi"/>
          <w:sz w:val="22"/>
          <w:lang w:val="sk-SK"/>
        </w:rPr>
        <w:t xml:space="preserve">a do úvahy berú predovšetkým </w:t>
      </w:r>
      <w:r w:rsidRPr="0079009D">
        <w:rPr>
          <w:rFonts w:asciiTheme="minorHAnsi" w:hAnsiTheme="minorHAnsi"/>
          <w:sz w:val="22"/>
          <w:lang w:val="sk-SK"/>
        </w:rPr>
        <w:t>reg</w:t>
      </w:r>
      <w:r w:rsidR="008318F8">
        <w:rPr>
          <w:rFonts w:asciiTheme="minorHAnsi" w:hAnsiTheme="minorHAnsi"/>
          <w:sz w:val="22"/>
          <w:lang w:val="sk-SK"/>
        </w:rPr>
        <w:t xml:space="preserve">ionálne rozvojové plány, štátna vzdelávacia </w:t>
      </w:r>
      <w:r w:rsidRPr="0079009D">
        <w:rPr>
          <w:rFonts w:asciiTheme="minorHAnsi" w:hAnsiTheme="minorHAnsi"/>
          <w:sz w:val="22"/>
          <w:lang w:val="sk-SK"/>
        </w:rPr>
        <w:t xml:space="preserve"> politik</w:t>
      </w:r>
      <w:r w:rsidR="008318F8">
        <w:rPr>
          <w:rFonts w:asciiTheme="minorHAnsi" w:hAnsiTheme="minorHAnsi"/>
          <w:sz w:val="22"/>
          <w:lang w:val="sk-SK"/>
        </w:rPr>
        <w:t>a</w:t>
      </w:r>
      <w:r w:rsidRPr="0079009D">
        <w:rPr>
          <w:rFonts w:asciiTheme="minorHAnsi" w:hAnsiTheme="minorHAnsi"/>
          <w:sz w:val="22"/>
          <w:lang w:val="sk-SK"/>
        </w:rPr>
        <w:t>, vrátane celoživotného vzdelávania. Na národnej úrovni sú reflektované najmä dokumenty EÚ, ako Európska agenda vzdelávania dospelých (2011), dokumenty CEDEFOP, Európa 2020</w:t>
      </w:r>
      <w:r w:rsidR="005202E0" w:rsidRPr="0079009D">
        <w:rPr>
          <w:rFonts w:asciiTheme="minorHAnsi" w:hAnsiTheme="minorHAnsi"/>
          <w:sz w:val="22"/>
          <w:lang w:val="sk-SK"/>
        </w:rPr>
        <w:t xml:space="preserve"> a</w:t>
      </w:r>
      <w:r w:rsidRPr="0079009D">
        <w:rPr>
          <w:rFonts w:asciiTheme="minorHAnsi" w:hAnsiTheme="minorHAnsi"/>
          <w:sz w:val="22"/>
          <w:lang w:val="sk-SK"/>
        </w:rPr>
        <w:t xml:space="preserve"> Európsky kvalifikačný rámec. </w:t>
      </w:r>
    </w:p>
    <w:p w:rsidR="00107691" w:rsidRPr="0079009D" w:rsidRDefault="00107691" w:rsidP="009B31F5">
      <w:pPr>
        <w:rPr>
          <w:rFonts w:asciiTheme="minorHAnsi" w:hAnsiTheme="minorHAnsi"/>
          <w:sz w:val="22"/>
          <w:lang w:val="sk-SK"/>
        </w:rPr>
      </w:pPr>
    </w:p>
    <w:p w:rsidR="002E22E1" w:rsidRPr="0079009D" w:rsidRDefault="002E22E1" w:rsidP="009B31F5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 xml:space="preserve">Vzhľadom na špecifické zdroje dát, respondenti na regionálnej úrovni uvádzali regionálne štatistiky zamestnanosti zo záznamov </w:t>
      </w:r>
      <w:r w:rsidR="008A7569">
        <w:rPr>
          <w:rFonts w:asciiTheme="minorHAnsi" w:hAnsiTheme="minorHAnsi"/>
          <w:sz w:val="22"/>
          <w:lang w:val="sk-SK"/>
        </w:rPr>
        <w:t xml:space="preserve">Ústredia </w:t>
      </w:r>
      <w:r w:rsidRPr="0079009D">
        <w:rPr>
          <w:rFonts w:asciiTheme="minorHAnsi" w:hAnsiTheme="minorHAnsi"/>
          <w:sz w:val="22"/>
          <w:lang w:val="sk-SK"/>
        </w:rPr>
        <w:t xml:space="preserve">práce. Respondenti z národnej úrovne spomínali národný informačný </w:t>
      </w:r>
      <w:r w:rsidR="0079009D" w:rsidRPr="0079009D">
        <w:rPr>
          <w:rFonts w:asciiTheme="minorHAnsi" w:hAnsiTheme="minorHAnsi"/>
          <w:sz w:val="22"/>
          <w:lang w:val="sk-SK"/>
        </w:rPr>
        <w:t>systém</w:t>
      </w:r>
      <w:r w:rsidRPr="0079009D">
        <w:rPr>
          <w:rFonts w:asciiTheme="minorHAnsi" w:hAnsiTheme="minorHAnsi"/>
          <w:sz w:val="22"/>
          <w:lang w:val="sk-SK"/>
        </w:rPr>
        <w:t xml:space="preserve"> akreditovaných tréningových programov, štatistiky o vzdelávaní dospelých</w:t>
      </w:r>
      <w:r w:rsidR="005202E0" w:rsidRPr="0079009D">
        <w:rPr>
          <w:rFonts w:asciiTheme="minorHAnsi" w:hAnsiTheme="minorHAnsi"/>
          <w:sz w:val="22"/>
          <w:lang w:val="sk-SK"/>
        </w:rPr>
        <w:t xml:space="preserve"> a na úrovni EÚ/alebo medzinárodnej úrovni to boli </w:t>
      </w:r>
      <w:r w:rsidR="0079009D" w:rsidRPr="0079009D">
        <w:rPr>
          <w:rFonts w:asciiTheme="minorHAnsi" w:hAnsiTheme="minorHAnsi"/>
          <w:sz w:val="22"/>
          <w:lang w:val="sk-SK"/>
        </w:rPr>
        <w:t>dáta</w:t>
      </w:r>
      <w:r w:rsidR="005202E0" w:rsidRPr="0079009D">
        <w:rPr>
          <w:rFonts w:asciiTheme="minorHAnsi" w:hAnsiTheme="minorHAnsi"/>
          <w:sz w:val="22"/>
          <w:lang w:val="sk-SK"/>
        </w:rPr>
        <w:t xml:space="preserve"> Eurostatu, RegData a tiež výsledky prieskumu PIAAC. </w:t>
      </w:r>
    </w:p>
    <w:p w:rsidR="00107691" w:rsidRPr="0079009D" w:rsidRDefault="00107691" w:rsidP="009B31F5">
      <w:pPr>
        <w:rPr>
          <w:rFonts w:asciiTheme="minorHAnsi" w:hAnsiTheme="minorHAnsi"/>
          <w:sz w:val="22"/>
          <w:lang w:val="sk-SK"/>
        </w:rPr>
      </w:pPr>
    </w:p>
    <w:p w:rsidR="005202E0" w:rsidRPr="0079009D" w:rsidRDefault="005202E0" w:rsidP="009B31F5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 xml:space="preserve">Všetci </w:t>
      </w:r>
      <w:r w:rsidR="0079009D" w:rsidRPr="0079009D">
        <w:rPr>
          <w:rFonts w:asciiTheme="minorHAnsi" w:hAnsiTheme="minorHAnsi"/>
          <w:sz w:val="22"/>
          <w:lang w:val="sk-SK"/>
        </w:rPr>
        <w:t>respondenti</w:t>
      </w:r>
      <w:r w:rsidRPr="0079009D">
        <w:rPr>
          <w:rFonts w:asciiTheme="minorHAnsi" w:hAnsiTheme="minorHAnsi"/>
          <w:sz w:val="22"/>
          <w:lang w:val="sk-SK"/>
        </w:rPr>
        <w:t xml:space="preserve"> potvrdili, že majú </w:t>
      </w:r>
      <w:r w:rsidR="0079009D" w:rsidRPr="0079009D">
        <w:rPr>
          <w:rFonts w:asciiTheme="minorHAnsi" w:hAnsiTheme="minorHAnsi"/>
          <w:sz w:val="22"/>
          <w:lang w:val="sk-SK"/>
        </w:rPr>
        <w:t>kontakty</w:t>
      </w:r>
      <w:r w:rsidRPr="0079009D">
        <w:rPr>
          <w:rFonts w:asciiTheme="minorHAnsi" w:hAnsiTheme="minorHAnsi"/>
          <w:sz w:val="22"/>
          <w:lang w:val="sk-SK"/>
        </w:rPr>
        <w:t xml:space="preserve"> s inými </w:t>
      </w:r>
      <w:r w:rsidR="0079009D" w:rsidRPr="0079009D">
        <w:rPr>
          <w:rFonts w:asciiTheme="minorHAnsi" w:hAnsiTheme="minorHAnsi"/>
          <w:sz w:val="22"/>
          <w:lang w:val="sk-SK"/>
        </w:rPr>
        <w:t>subjektmi</w:t>
      </w:r>
      <w:r w:rsidRPr="0079009D">
        <w:rPr>
          <w:rFonts w:asciiTheme="minorHAnsi" w:hAnsiTheme="minorHAnsi"/>
          <w:sz w:val="22"/>
          <w:lang w:val="sk-SK"/>
        </w:rPr>
        <w:t>. Či už na regionálnej alebo národnej úrov</w:t>
      </w:r>
      <w:r w:rsidR="00B8596A">
        <w:rPr>
          <w:rFonts w:asciiTheme="minorHAnsi" w:hAnsiTheme="minorHAnsi"/>
          <w:sz w:val="22"/>
          <w:lang w:val="sk-SK"/>
        </w:rPr>
        <w:t>ni e</w:t>
      </w:r>
      <w:r w:rsidRPr="0079009D">
        <w:rPr>
          <w:rFonts w:asciiTheme="minorHAnsi" w:hAnsiTheme="minorHAnsi"/>
          <w:sz w:val="22"/>
          <w:lang w:val="sk-SK"/>
        </w:rPr>
        <w:t xml:space="preserve">xistujú kontakty napr. s českými organizáciami. Mnohé kontakty na národnej úrovni sú udržiavané cez rôzne EÚ </w:t>
      </w:r>
      <w:r w:rsidR="0079009D" w:rsidRPr="0079009D">
        <w:rPr>
          <w:rFonts w:asciiTheme="minorHAnsi" w:hAnsiTheme="minorHAnsi"/>
          <w:sz w:val="22"/>
          <w:lang w:val="sk-SK"/>
        </w:rPr>
        <w:t>fóra</w:t>
      </w:r>
      <w:r w:rsidRPr="0079009D">
        <w:rPr>
          <w:rFonts w:asciiTheme="minorHAnsi" w:hAnsiTheme="minorHAnsi"/>
          <w:sz w:val="22"/>
          <w:lang w:val="sk-SK"/>
        </w:rPr>
        <w:t xml:space="preserve">. </w:t>
      </w:r>
    </w:p>
    <w:p w:rsidR="00107691" w:rsidRPr="0079009D" w:rsidRDefault="00107691" w:rsidP="009B31F5">
      <w:pPr>
        <w:rPr>
          <w:rFonts w:asciiTheme="minorHAnsi" w:hAnsiTheme="minorHAnsi"/>
          <w:sz w:val="22"/>
          <w:lang w:val="sk-SK"/>
        </w:rPr>
      </w:pPr>
    </w:p>
    <w:p w:rsidR="005636AE" w:rsidRPr="0079009D" w:rsidRDefault="005202E0" w:rsidP="009B31F5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>Keďže na Slovensku n</w:t>
      </w:r>
      <w:r w:rsidR="00634C60">
        <w:rPr>
          <w:rFonts w:asciiTheme="minorHAnsi" w:hAnsiTheme="minorHAnsi"/>
          <w:sz w:val="22"/>
          <w:lang w:val="sk-SK"/>
        </w:rPr>
        <w:t xml:space="preserve">ie je formulovaná </w:t>
      </w:r>
      <w:r w:rsidRPr="0079009D">
        <w:rPr>
          <w:rFonts w:asciiTheme="minorHAnsi" w:hAnsiTheme="minorHAnsi"/>
          <w:sz w:val="22"/>
          <w:lang w:val="sk-SK"/>
        </w:rPr>
        <w:t>všeobecná politika VD</w:t>
      </w:r>
      <w:r w:rsidR="003040A5">
        <w:rPr>
          <w:rFonts w:asciiTheme="minorHAnsi" w:hAnsiTheme="minorHAnsi"/>
          <w:sz w:val="22"/>
          <w:lang w:val="sk-SK"/>
        </w:rPr>
        <w:t>,</w:t>
      </w:r>
      <w:r w:rsidRPr="0079009D">
        <w:rPr>
          <w:rFonts w:asciiTheme="minorHAnsi" w:hAnsiTheme="minorHAnsi"/>
          <w:sz w:val="22"/>
          <w:lang w:val="sk-SK"/>
        </w:rPr>
        <w:t xml:space="preserve"> a</w:t>
      </w:r>
      <w:r w:rsidR="00B8596A">
        <w:rPr>
          <w:rFonts w:asciiTheme="minorHAnsi" w:hAnsiTheme="minorHAnsi"/>
          <w:sz w:val="22"/>
          <w:lang w:val="sk-SK"/>
        </w:rPr>
        <w:t xml:space="preserve"> teda ani </w:t>
      </w:r>
      <w:r w:rsidRPr="0079009D">
        <w:rPr>
          <w:rFonts w:asciiTheme="minorHAnsi" w:hAnsiTheme="minorHAnsi"/>
          <w:sz w:val="22"/>
          <w:lang w:val="sk-SK"/>
        </w:rPr>
        <w:t>jej politický cyklus, n</w:t>
      </w:r>
      <w:r w:rsidR="00634C60">
        <w:rPr>
          <w:rFonts w:asciiTheme="minorHAnsi" w:hAnsiTheme="minorHAnsi"/>
          <w:sz w:val="22"/>
          <w:lang w:val="sk-SK"/>
        </w:rPr>
        <w:t xml:space="preserve">ie je ustanovený </w:t>
      </w:r>
      <w:r w:rsidRPr="0079009D">
        <w:rPr>
          <w:rFonts w:asciiTheme="minorHAnsi" w:hAnsiTheme="minorHAnsi"/>
          <w:sz w:val="22"/>
          <w:lang w:val="sk-SK"/>
        </w:rPr>
        <w:t xml:space="preserve">ani jej </w:t>
      </w:r>
      <w:r w:rsidR="0079009D" w:rsidRPr="0079009D">
        <w:rPr>
          <w:rFonts w:asciiTheme="minorHAnsi" w:hAnsiTheme="minorHAnsi"/>
          <w:sz w:val="22"/>
          <w:lang w:val="sk-SK"/>
        </w:rPr>
        <w:t>systém</w:t>
      </w:r>
      <w:r w:rsidRPr="0079009D">
        <w:rPr>
          <w:rFonts w:asciiTheme="minorHAnsi" w:hAnsiTheme="minorHAnsi"/>
          <w:sz w:val="22"/>
          <w:lang w:val="sk-SK"/>
        </w:rPr>
        <w:t xml:space="preserve">  hodnotenia.  </w:t>
      </w:r>
    </w:p>
    <w:p w:rsidR="009B31F5" w:rsidRPr="0079009D" w:rsidRDefault="009B31F5">
      <w:pPr>
        <w:rPr>
          <w:rFonts w:asciiTheme="minorHAnsi" w:hAnsiTheme="minorHAnsi"/>
          <w:sz w:val="22"/>
          <w:lang w:val="sk-SK"/>
        </w:rPr>
      </w:pPr>
    </w:p>
    <w:p w:rsidR="005202E0" w:rsidRPr="0079009D" w:rsidRDefault="005202E0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 xml:space="preserve">Vo všeobecnosti je zrejmé, </w:t>
      </w:r>
      <w:r w:rsidR="00D14D92" w:rsidRPr="0079009D">
        <w:rPr>
          <w:rFonts w:asciiTheme="minorHAnsi" w:hAnsiTheme="minorHAnsi"/>
          <w:sz w:val="22"/>
          <w:lang w:val="sk-SK"/>
        </w:rPr>
        <w:t xml:space="preserve">že plánovacie dokumenty sú formulované v spolupráci </w:t>
      </w:r>
      <w:r w:rsidR="00B8596A">
        <w:rPr>
          <w:rFonts w:asciiTheme="minorHAnsi" w:hAnsiTheme="minorHAnsi"/>
          <w:sz w:val="22"/>
          <w:lang w:val="sk-SK"/>
        </w:rPr>
        <w:t>a</w:t>
      </w:r>
      <w:r w:rsidR="00D14D92" w:rsidRPr="0079009D">
        <w:rPr>
          <w:rFonts w:asciiTheme="minorHAnsi" w:hAnsiTheme="minorHAnsi"/>
          <w:sz w:val="22"/>
          <w:lang w:val="sk-SK"/>
        </w:rPr>
        <w:t xml:space="preserve"> po konzultáciách s relevantnými zainteresovanými inštitúciami/osobami. Formalizovaný </w:t>
      </w:r>
      <w:r w:rsidR="0079009D" w:rsidRPr="0079009D">
        <w:rPr>
          <w:rFonts w:asciiTheme="minorHAnsi" w:hAnsiTheme="minorHAnsi"/>
          <w:sz w:val="22"/>
          <w:lang w:val="sk-SK"/>
        </w:rPr>
        <w:t>proces</w:t>
      </w:r>
      <w:r w:rsidR="00D14D92" w:rsidRPr="0079009D">
        <w:rPr>
          <w:rFonts w:asciiTheme="minorHAnsi" w:hAnsiTheme="minorHAnsi"/>
          <w:sz w:val="22"/>
          <w:lang w:val="sk-SK"/>
        </w:rPr>
        <w:t xml:space="preserve"> konzultácií existuje na národnej úrovni, keď sa napr. pripravuje nový zákon. Toto je </w:t>
      </w:r>
      <w:r w:rsidR="00B8596A">
        <w:rPr>
          <w:rFonts w:asciiTheme="minorHAnsi" w:hAnsiTheme="minorHAnsi"/>
          <w:sz w:val="22"/>
          <w:lang w:val="sk-SK"/>
        </w:rPr>
        <w:t>zrejmé</w:t>
      </w:r>
      <w:r w:rsidR="0079009D" w:rsidRPr="0079009D">
        <w:rPr>
          <w:rFonts w:asciiTheme="minorHAnsi" w:hAnsiTheme="minorHAnsi"/>
          <w:sz w:val="22"/>
          <w:lang w:val="sk-SK"/>
        </w:rPr>
        <w:t xml:space="preserve"> aj</w:t>
      </w:r>
      <w:r w:rsidR="00D14D92" w:rsidRPr="0079009D">
        <w:rPr>
          <w:rFonts w:asciiTheme="minorHAnsi" w:hAnsiTheme="minorHAnsi"/>
          <w:sz w:val="22"/>
          <w:lang w:val="sk-SK"/>
        </w:rPr>
        <w:t xml:space="preserve">  v  súvislosti s prípravou zákona o </w:t>
      </w:r>
      <w:r w:rsidR="0079009D" w:rsidRPr="0079009D">
        <w:rPr>
          <w:rFonts w:asciiTheme="minorHAnsi" w:hAnsiTheme="minorHAnsi"/>
          <w:sz w:val="22"/>
          <w:lang w:val="sk-SK"/>
        </w:rPr>
        <w:t>ďalšom</w:t>
      </w:r>
      <w:r w:rsidR="00D14D92" w:rsidRPr="0079009D">
        <w:rPr>
          <w:rFonts w:asciiTheme="minorHAnsi" w:hAnsiTheme="minorHAnsi"/>
          <w:sz w:val="22"/>
          <w:lang w:val="sk-SK"/>
        </w:rPr>
        <w:t xml:space="preserve"> vzdelávaní</w:t>
      </w:r>
      <w:r w:rsidR="00634C60">
        <w:rPr>
          <w:rFonts w:asciiTheme="minorHAnsi" w:hAnsiTheme="minorHAnsi"/>
          <w:sz w:val="22"/>
          <w:lang w:val="sk-SK"/>
        </w:rPr>
        <w:t>. Vecný zámer zákona</w:t>
      </w:r>
      <w:r w:rsidR="00D14D92" w:rsidRPr="0079009D">
        <w:rPr>
          <w:rFonts w:asciiTheme="minorHAnsi" w:hAnsiTheme="minorHAnsi"/>
          <w:sz w:val="22"/>
          <w:lang w:val="sk-SK"/>
        </w:rPr>
        <w:t xml:space="preserve"> je </w:t>
      </w:r>
      <w:r w:rsidR="00B8596A">
        <w:rPr>
          <w:rFonts w:asciiTheme="minorHAnsi" w:hAnsiTheme="minorHAnsi"/>
          <w:sz w:val="22"/>
          <w:lang w:val="sk-SK"/>
        </w:rPr>
        <w:t xml:space="preserve">výsledkom </w:t>
      </w:r>
      <w:r w:rsidR="00D14D92" w:rsidRPr="0079009D">
        <w:rPr>
          <w:rFonts w:asciiTheme="minorHAnsi" w:hAnsiTheme="minorHAnsi"/>
          <w:sz w:val="22"/>
          <w:lang w:val="sk-SK"/>
        </w:rPr>
        <w:t>spoluprác</w:t>
      </w:r>
      <w:r w:rsidR="00B8596A">
        <w:rPr>
          <w:rFonts w:asciiTheme="minorHAnsi" w:hAnsiTheme="minorHAnsi"/>
          <w:sz w:val="22"/>
          <w:lang w:val="sk-SK"/>
        </w:rPr>
        <w:t>e</w:t>
      </w:r>
      <w:r w:rsidR="00D14D92" w:rsidRPr="0079009D">
        <w:rPr>
          <w:rFonts w:asciiTheme="minorHAnsi" w:hAnsiTheme="minorHAnsi"/>
          <w:sz w:val="22"/>
          <w:lang w:val="sk-SK"/>
        </w:rPr>
        <w:t xml:space="preserve"> ministerstva, zamestnávateľov a akademick</w:t>
      </w:r>
      <w:r w:rsidR="00B8596A">
        <w:rPr>
          <w:rFonts w:asciiTheme="minorHAnsi" w:hAnsiTheme="minorHAnsi"/>
          <w:sz w:val="22"/>
          <w:lang w:val="sk-SK"/>
        </w:rPr>
        <w:t>ej</w:t>
      </w:r>
      <w:r w:rsidR="00D14D92" w:rsidRPr="0079009D">
        <w:rPr>
          <w:rFonts w:asciiTheme="minorHAnsi" w:hAnsiTheme="minorHAnsi"/>
          <w:sz w:val="22"/>
          <w:lang w:val="sk-SK"/>
        </w:rPr>
        <w:t xml:space="preserve"> obc</w:t>
      </w:r>
      <w:r w:rsidR="00B8596A">
        <w:rPr>
          <w:rFonts w:asciiTheme="minorHAnsi" w:hAnsiTheme="minorHAnsi"/>
          <w:sz w:val="22"/>
          <w:lang w:val="sk-SK"/>
        </w:rPr>
        <w:t>e</w:t>
      </w:r>
      <w:r w:rsidR="00D14D92" w:rsidRPr="0079009D">
        <w:rPr>
          <w:rFonts w:asciiTheme="minorHAnsi" w:hAnsiTheme="minorHAnsi"/>
          <w:sz w:val="22"/>
          <w:lang w:val="sk-SK"/>
        </w:rPr>
        <w:t xml:space="preserve">.  Širšie konzultácie budú zrejme realizované potom, ako bude návrh zákona hotový, </w:t>
      </w:r>
      <w:r w:rsidR="003040A5">
        <w:rPr>
          <w:rFonts w:asciiTheme="minorHAnsi" w:hAnsiTheme="minorHAnsi"/>
          <w:sz w:val="22"/>
          <w:lang w:val="sk-SK"/>
        </w:rPr>
        <w:t>vtedy</w:t>
      </w:r>
      <w:r w:rsidR="00D14D92" w:rsidRPr="0079009D">
        <w:rPr>
          <w:rFonts w:asciiTheme="minorHAnsi" w:hAnsiTheme="minorHAnsi"/>
          <w:sz w:val="22"/>
          <w:lang w:val="sk-SK"/>
        </w:rPr>
        <w:t xml:space="preserve"> bude posunutý  na medzirezortn</w:t>
      </w:r>
      <w:r w:rsidR="00634C60">
        <w:rPr>
          <w:rFonts w:asciiTheme="minorHAnsi" w:hAnsiTheme="minorHAnsi"/>
          <w:sz w:val="22"/>
          <w:lang w:val="sk-SK"/>
        </w:rPr>
        <w:t>é</w:t>
      </w:r>
      <w:r w:rsidR="00D14D92" w:rsidRPr="0079009D">
        <w:rPr>
          <w:rFonts w:asciiTheme="minorHAnsi" w:hAnsiTheme="minorHAnsi"/>
          <w:sz w:val="22"/>
          <w:lang w:val="sk-SK"/>
        </w:rPr>
        <w:t xml:space="preserve"> pripomienkovanie a tiež bude poskytnutý </w:t>
      </w:r>
      <w:r w:rsidR="0079009D" w:rsidRPr="0079009D">
        <w:rPr>
          <w:rFonts w:asciiTheme="minorHAnsi" w:hAnsiTheme="minorHAnsi"/>
          <w:sz w:val="22"/>
          <w:lang w:val="sk-SK"/>
        </w:rPr>
        <w:t xml:space="preserve">na konzultácie pre </w:t>
      </w:r>
      <w:r w:rsidR="00936ED5">
        <w:rPr>
          <w:rFonts w:asciiTheme="minorHAnsi" w:hAnsiTheme="minorHAnsi"/>
          <w:sz w:val="22"/>
          <w:lang w:val="sk-SK"/>
        </w:rPr>
        <w:t xml:space="preserve">širšiu </w:t>
      </w:r>
      <w:r w:rsidR="00D14D92" w:rsidRPr="0079009D">
        <w:rPr>
          <w:rFonts w:asciiTheme="minorHAnsi" w:hAnsiTheme="minorHAnsi"/>
          <w:sz w:val="22"/>
          <w:lang w:val="sk-SK"/>
        </w:rPr>
        <w:t>verejnos</w:t>
      </w:r>
      <w:r w:rsidR="0079009D" w:rsidRPr="0079009D">
        <w:rPr>
          <w:rFonts w:asciiTheme="minorHAnsi" w:hAnsiTheme="minorHAnsi"/>
          <w:sz w:val="22"/>
          <w:lang w:val="sk-SK"/>
        </w:rPr>
        <w:t>ť</w:t>
      </w:r>
      <w:r w:rsidR="00D14D92" w:rsidRPr="0079009D">
        <w:rPr>
          <w:rFonts w:asciiTheme="minorHAnsi" w:hAnsiTheme="minorHAnsi"/>
          <w:sz w:val="22"/>
          <w:lang w:val="sk-SK"/>
        </w:rPr>
        <w:t xml:space="preserve">. </w:t>
      </w:r>
    </w:p>
    <w:p w:rsidR="001A7AE0" w:rsidRPr="0079009D" w:rsidRDefault="001A7AE0">
      <w:pPr>
        <w:rPr>
          <w:rFonts w:asciiTheme="minorHAnsi" w:hAnsiTheme="minorHAnsi"/>
          <w:sz w:val="22"/>
          <w:lang w:val="sk-SK"/>
        </w:rPr>
      </w:pPr>
    </w:p>
    <w:p w:rsidR="001A7AE0" w:rsidRPr="0079009D" w:rsidRDefault="0079009D">
      <w:pPr>
        <w:rPr>
          <w:rFonts w:asciiTheme="minorHAnsi" w:hAnsiTheme="minorHAnsi"/>
          <w:sz w:val="22"/>
          <w:lang w:val="sk-SK"/>
        </w:rPr>
      </w:pPr>
      <w:r w:rsidRPr="0079009D">
        <w:rPr>
          <w:rFonts w:asciiTheme="minorHAnsi" w:hAnsiTheme="minorHAnsi"/>
          <w:sz w:val="22"/>
          <w:lang w:val="sk-SK"/>
        </w:rPr>
        <w:t xml:space="preserve">Na regionálnej úrovni sa zdá, že automaticky existujú vnútro-inštitucionálne konzultácie a v prípade rozsiahlejších plánovacích dokumentov sa tiež spoliehajú  na </w:t>
      </w:r>
      <w:r w:rsidR="00634C60">
        <w:rPr>
          <w:rFonts w:asciiTheme="minorHAnsi" w:hAnsiTheme="minorHAnsi"/>
          <w:sz w:val="22"/>
          <w:lang w:val="sk-SK"/>
        </w:rPr>
        <w:t xml:space="preserve">rôzne </w:t>
      </w:r>
      <w:r w:rsidRPr="0079009D">
        <w:rPr>
          <w:rFonts w:asciiTheme="minorHAnsi" w:hAnsiTheme="minorHAnsi"/>
          <w:sz w:val="22"/>
          <w:lang w:val="sk-SK"/>
        </w:rPr>
        <w:t xml:space="preserve">externé poradné </w:t>
      </w:r>
      <w:r w:rsidR="00634C60">
        <w:rPr>
          <w:rFonts w:asciiTheme="minorHAnsi" w:hAnsiTheme="minorHAnsi"/>
          <w:sz w:val="22"/>
          <w:lang w:val="sk-SK"/>
        </w:rPr>
        <w:t>skupiny</w:t>
      </w:r>
      <w:r w:rsidRPr="0079009D">
        <w:rPr>
          <w:rFonts w:asciiTheme="minorHAnsi" w:hAnsiTheme="minorHAnsi"/>
          <w:sz w:val="22"/>
          <w:lang w:val="sk-SK"/>
        </w:rPr>
        <w:t>. Regionálne plán</w:t>
      </w:r>
      <w:r w:rsidR="00634C60">
        <w:rPr>
          <w:rFonts w:asciiTheme="minorHAnsi" w:hAnsiTheme="minorHAnsi"/>
          <w:sz w:val="22"/>
          <w:lang w:val="sk-SK"/>
        </w:rPr>
        <w:t xml:space="preserve">ovanie je </w:t>
      </w:r>
      <w:r w:rsidR="0043504F">
        <w:rPr>
          <w:rFonts w:asciiTheme="minorHAnsi" w:hAnsiTheme="minorHAnsi"/>
          <w:sz w:val="22"/>
          <w:lang w:val="sk-SK"/>
        </w:rPr>
        <w:t>vo</w:t>
      </w:r>
      <w:r w:rsidRPr="0079009D">
        <w:rPr>
          <w:rFonts w:asciiTheme="minorHAnsi" w:hAnsiTheme="minorHAnsi"/>
          <w:sz w:val="22"/>
          <w:lang w:val="sk-SK"/>
        </w:rPr>
        <w:t xml:space="preserve"> všeobecn</w:t>
      </w:r>
      <w:r w:rsidR="0043504F">
        <w:rPr>
          <w:rFonts w:asciiTheme="minorHAnsi" w:hAnsiTheme="minorHAnsi"/>
          <w:sz w:val="22"/>
          <w:lang w:val="sk-SK"/>
        </w:rPr>
        <w:t xml:space="preserve">osti </w:t>
      </w:r>
      <w:r w:rsidRPr="0079009D">
        <w:rPr>
          <w:rFonts w:asciiTheme="minorHAnsi" w:hAnsiTheme="minorHAnsi"/>
          <w:sz w:val="22"/>
          <w:lang w:val="sk-SK"/>
        </w:rPr>
        <w:t>prepojené na programový cyklus štrukturálnych fondov a</w:t>
      </w:r>
      <w:r>
        <w:rPr>
          <w:rFonts w:asciiTheme="minorHAnsi" w:hAnsiTheme="minorHAnsi"/>
          <w:sz w:val="22"/>
          <w:lang w:val="sk-SK"/>
        </w:rPr>
        <w:t xml:space="preserve"> </w:t>
      </w:r>
      <w:r w:rsidRPr="0079009D">
        <w:rPr>
          <w:rFonts w:asciiTheme="minorHAnsi" w:hAnsiTheme="minorHAnsi"/>
          <w:sz w:val="22"/>
          <w:lang w:val="sk-SK"/>
        </w:rPr>
        <w:t>na  ich admin</w:t>
      </w:r>
      <w:r>
        <w:rPr>
          <w:rFonts w:asciiTheme="minorHAnsi" w:hAnsiTheme="minorHAnsi"/>
          <w:sz w:val="22"/>
          <w:lang w:val="sk-SK"/>
        </w:rPr>
        <w:t>i</w:t>
      </w:r>
      <w:r w:rsidRPr="0079009D">
        <w:rPr>
          <w:rFonts w:asciiTheme="minorHAnsi" w:hAnsiTheme="minorHAnsi"/>
          <w:sz w:val="22"/>
          <w:lang w:val="sk-SK"/>
        </w:rPr>
        <w:t>st</w:t>
      </w:r>
      <w:r>
        <w:rPr>
          <w:rFonts w:asciiTheme="minorHAnsi" w:hAnsiTheme="minorHAnsi"/>
          <w:sz w:val="22"/>
          <w:lang w:val="sk-SK"/>
        </w:rPr>
        <w:t>ra</w:t>
      </w:r>
      <w:r w:rsidRPr="0079009D">
        <w:rPr>
          <w:rFonts w:asciiTheme="minorHAnsi" w:hAnsiTheme="minorHAnsi"/>
          <w:sz w:val="22"/>
          <w:lang w:val="sk-SK"/>
        </w:rPr>
        <w:t xml:space="preserve">tívne pravidlá. </w:t>
      </w:r>
    </w:p>
    <w:p w:rsidR="00D31F73" w:rsidRPr="0043504F" w:rsidRDefault="00D31F73" w:rsidP="0043504F">
      <w:pPr>
        <w:rPr>
          <w:rFonts w:asciiTheme="minorHAnsi" w:eastAsiaTheme="majorEastAsia" w:hAnsiTheme="minorHAnsi" w:cstheme="majorBidi"/>
          <w:b/>
          <w:bCs/>
          <w:iCs/>
          <w:color w:val="1F497D" w:themeColor="text2"/>
          <w:sz w:val="22"/>
          <w:szCs w:val="22"/>
          <w:lang w:val="en-US"/>
        </w:rPr>
      </w:pPr>
      <w:r w:rsidRPr="00D31F73">
        <w:rPr>
          <w:lang w:val="en-US"/>
        </w:rPr>
        <w:br w:type="page"/>
      </w:r>
      <w:r w:rsidR="0043504F">
        <w:rPr>
          <w:rFonts w:asciiTheme="minorHAnsi" w:hAnsiTheme="minorHAnsi"/>
          <w:b/>
          <w:color w:val="1F497D" w:themeColor="text2"/>
          <w:sz w:val="22"/>
          <w:szCs w:val="22"/>
        </w:rPr>
        <w:lastRenderedPageBreak/>
        <w:t xml:space="preserve">Implementácia politiky </w:t>
      </w:r>
      <w:r w:rsidR="00FA7E2D">
        <w:rPr>
          <w:rFonts w:asciiTheme="minorHAnsi" w:hAnsiTheme="minorHAnsi"/>
          <w:b/>
          <w:color w:val="1F497D" w:themeColor="text2"/>
          <w:sz w:val="22"/>
          <w:szCs w:val="22"/>
        </w:rPr>
        <w:t xml:space="preserve">vzdelávania dospelých </w:t>
      </w:r>
    </w:p>
    <w:p w:rsidR="00D31F73" w:rsidRDefault="00D31F73">
      <w:pPr>
        <w:rPr>
          <w:rFonts w:asciiTheme="minorHAnsi" w:hAnsiTheme="minorHAnsi"/>
          <w:sz w:val="22"/>
          <w:lang w:val="en-US"/>
        </w:rPr>
      </w:pPr>
    </w:p>
    <w:p w:rsidR="0043504F" w:rsidRDefault="0043504F">
      <w:pPr>
        <w:rPr>
          <w:rFonts w:asciiTheme="minorHAnsi" w:hAnsiTheme="minorHAnsi"/>
          <w:sz w:val="22"/>
          <w:lang w:val="en-US"/>
        </w:rPr>
      </w:pPr>
      <w:proofErr w:type="spellStart"/>
      <w:r>
        <w:rPr>
          <w:rFonts w:asciiTheme="minorHAnsi" w:hAnsiTheme="minorHAnsi"/>
          <w:sz w:val="22"/>
          <w:lang w:val="en-US"/>
        </w:rPr>
        <w:t>Ak</w:t>
      </w:r>
      <w:r w:rsidR="00936ED5">
        <w:rPr>
          <w:rFonts w:asciiTheme="minorHAnsi" w:hAnsiTheme="minorHAnsi"/>
          <w:sz w:val="22"/>
          <w:lang w:val="en-US"/>
        </w:rPr>
        <w:t>tivity</w:t>
      </w:r>
      <w:proofErr w:type="spellEnd"/>
      <w:r w:rsidR="00936ED5">
        <w:rPr>
          <w:rFonts w:asciiTheme="minorHAnsi" w:hAnsiTheme="minorHAnsi"/>
          <w:sz w:val="22"/>
          <w:lang w:val="en-US"/>
        </w:rPr>
        <w:t xml:space="preserve">, </w:t>
      </w:r>
      <w:proofErr w:type="spellStart"/>
      <w:r w:rsidR="00936ED5">
        <w:rPr>
          <w:rFonts w:asciiTheme="minorHAnsi" w:hAnsiTheme="minorHAnsi"/>
          <w:sz w:val="22"/>
          <w:lang w:val="en-US"/>
        </w:rPr>
        <w:t>ktoré</w:t>
      </w:r>
      <w:proofErr w:type="spellEnd"/>
      <w:r w:rsidR="00936ED5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36ED5">
        <w:rPr>
          <w:rFonts w:asciiTheme="minorHAnsi" w:hAnsiTheme="minorHAnsi"/>
          <w:sz w:val="22"/>
          <w:lang w:val="en-US"/>
        </w:rPr>
        <w:t>sa</w:t>
      </w:r>
      <w:proofErr w:type="spellEnd"/>
      <w:r w:rsidR="00936ED5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36ED5">
        <w:rPr>
          <w:rFonts w:asciiTheme="minorHAnsi" w:hAnsiTheme="minorHAnsi"/>
          <w:sz w:val="22"/>
          <w:lang w:val="en-US"/>
        </w:rPr>
        <w:t>tu</w:t>
      </w:r>
      <w:proofErr w:type="spellEnd"/>
      <w:r w:rsidR="00936ED5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36ED5">
        <w:rPr>
          <w:rFonts w:asciiTheme="minorHAnsi" w:hAnsiTheme="minorHAnsi"/>
          <w:sz w:val="22"/>
          <w:lang w:val="en-US"/>
        </w:rPr>
        <w:t>spomínajú</w:t>
      </w:r>
      <w:proofErr w:type="spellEnd"/>
      <w:r w:rsidR="00936ED5">
        <w:rPr>
          <w:rFonts w:asciiTheme="minorHAnsi" w:hAnsiTheme="minorHAnsi"/>
          <w:sz w:val="22"/>
          <w:lang w:val="en-US"/>
        </w:rPr>
        <w:t xml:space="preserve">, </w:t>
      </w:r>
      <w:proofErr w:type="spellStart"/>
      <w:r w:rsidR="00936ED5">
        <w:rPr>
          <w:rFonts w:asciiTheme="minorHAnsi" w:hAnsiTheme="minorHAnsi"/>
          <w:sz w:val="22"/>
          <w:lang w:val="en-US"/>
        </w:rPr>
        <w:t>maj</w:t>
      </w:r>
      <w:r>
        <w:rPr>
          <w:rFonts w:asciiTheme="minorHAnsi" w:hAnsiTheme="minorHAnsi"/>
          <w:sz w:val="22"/>
          <w:lang w:val="en-US"/>
        </w:rPr>
        <w:t>ú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vo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väčšine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prípadov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charakter</w:t>
      </w:r>
      <w:proofErr w:type="spellEnd"/>
      <w:r>
        <w:rPr>
          <w:rFonts w:asciiTheme="minorHAnsi" w:hAnsiTheme="minorHAnsi"/>
          <w:sz w:val="22"/>
          <w:lang w:val="en-US"/>
        </w:rPr>
        <w:t xml:space="preserve">  </w:t>
      </w:r>
      <w:proofErr w:type="spellStart"/>
      <w:r>
        <w:rPr>
          <w:rFonts w:asciiTheme="minorHAnsi" w:hAnsiTheme="minorHAnsi"/>
          <w:sz w:val="22"/>
          <w:lang w:val="en-US"/>
        </w:rPr>
        <w:t>sprievodných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opatrení</w:t>
      </w:r>
      <w:proofErr w:type="spellEnd"/>
      <w:r>
        <w:rPr>
          <w:rFonts w:asciiTheme="minorHAnsi" w:hAnsiTheme="minorHAnsi"/>
          <w:sz w:val="22"/>
          <w:lang w:val="en-US"/>
        </w:rPr>
        <w:t xml:space="preserve"> a </w:t>
      </w:r>
      <w:proofErr w:type="spellStart"/>
      <w:r>
        <w:rPr>
          <w:rFonts w:asciiTheme="minorHAnsi" w:hAnsiTheme="minorHAnsi"/>
          <w:sz w:val="22"/>
          <w:lang w:val="en-US"/>
        </w:rPr>
        <w:t>nie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sú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aktivitami</w:t>
      </w:r>
      <w:proofErr w:type="spellEnd"/>
      <w:r>
        <w:rPr>
          <w:rFonts w:asciiTheme="minorHAnsi" w:hAnsiTheme="minorHAnsi"/>
          <w:sz w:val="22"/>
          <w:lang w:val="en-US"/>
        </w:rPr>
        <w:t xml:space="preserve"> , </w:t>
      </w:r>
      <w:proofErr w:type="spellStart"/>
      <w:r>
        <w:rPr>
          <w:rFonts w:asciiTheme="minorHAnsi" w:hAnsiTheme="minorHAnsi"/>
          <w:sz w:val="22"/>
          <w:lang w:val="en-US"/>
        </w:rPr>
        <w:t>ktoré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priamo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impelementujú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politiku</w:t>
      </w:r>
      <w:proofErr w:type="spellEnd"/>
      <w:r>
        <w:rPr>
          <w:rFonts w:asciiTheme="minorHAnsi" w:hAnsiTheme="minorHAnsi"/>
          <w:sz w:val="22"/>
          <w:lang w:val="en-US"/>
        </w:rPr>
        <w:t xml:space="preserve"> VD. Na </w:t>
      </w:r>
      <w:proofErr w:type="spellStart"/>
      <w:r>
        <w:rPr>
          <w:rFonts w:asciiTheme="minorHAnsi" w:hAnsiTheme="minorHAnsi"/>
          <w:sz w:val="22"/>
          <w:lang w:val="en-US"/>
        </w:rPr>
        <w:t>regionálnej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úrovni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sú</w:t>
      </w:r>
      <w:proofErr w:type="spellEnd"/>
      <w:r>
        <w:rPr>
          <w:rFonts w:asciiTheme="minorHAnsi" w:hAnsiTheme="minorHAnsi"/>
          <w:sz w:val="22"/>
          <w:lang w:val="en-US"/>
        </w:rPr>
        <w:t xml:space="preserve"> to </w:t>
      </w:r>
      <w:proofErr w:type="spellStart"/>
      <w:r>
        <w:rPr>
          <w:rFonts w:asciiTheme="minorHAnsi" w:hAnsiTheme="minorHAnsi"/>
          <w:sz w:val="22"/>
          <w:lang w:val="en-US"/>
        </w:rPr>
        <w:t>napríklad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tréningové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kurzy</w:t>
      </w:r>
      <w:proofErr w:type="spellEnd"/>
      <w:r>
        <w:rPr>
          <w:rFonts w:asciiTheme="minorHAnsi" w:hAnsiTheme="minorHAnsi"/>
          <w:sz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lang w:val="en-US"/>
        </w:rPr>
        <w:t>ktoré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ponúkajú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stredné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školy</w:t>
      </w:r>
      <w:proofErr w:type="spellEnd"/>
      <w:r w:rsidR="00634C60">
        <w:rPr>
          <w:rFonts w:asciiTheme="minorHAnsi" w:hAnsiTheme="minorHAnsi"/>
          <w:sz w:val="22"/>
          <w:lang w:val="en-US"/>
        </w:rPr>
        <w:t>,</w:t>
      </w:r>
      <w:r>
        <w:rPr>
          <w:rFonts w:asciiTheme="minorHAnsi" w:hAnsiTheme="minorHAnsi"/>
          <w:sz w:val="22"/>
          <w:lang w:val="en-US"/>
        </w:rPr>
        <w:t xml:space="preserve"> a </w:t>
      </w:r>
      <w:proofErr w:type="spellStart"/>
      <w:r>
        <w:rPr>
          <w:rFonts w:asciiTheme="minorHAnsi" w:hAnsiTheme="minorHAnsi"/>
          <w:sz w:val="22"/>
          <w:lang w:val="en-US"/>
        </w:rPr>
        <w:t>ktoré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nie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sú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nikde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systematicky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hlásené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alebo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registrované</w:t>
      </w:r>
      <w:proofErr w:type="spellEnd"/>
      <w:r>
        <w:rPr>
          <w:rFonts w:asciiTheme="minorHAnsi" w:hAnsiTheme="minorHAnsi"/>
          <w:sz w:val="22"/>
          <w:lang w:val="en-US"/>
        </w:rPr>
        <w:t xml:space="preserve">. </w:t>
      </w:r>
    </w:p>
    <w:p w:rsidR="004D14A4" w:rsidRDefault="004D14A4">
      <w:pPr>
        <w:rPr>
          <w:rFonts w:asciiTheme="minorHAnsi" w:hAnsiTheme="minorHAnsi"/>
          <w:sz w:val="22"/>
          <w:lang w:val="en-US"/>
        </w:rPr>
      </w:pPr>
    </w:p>
    <w:p w:rsidR="004D14A4" w:rsidRDefault="0043504F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V </w:t>
      </w:r>
      <w:proofErr w:type="spellStart"/>
      <w:r>
        <w:rPr>
          <w:rFonts w:asciiTheme="minorHAnsi" w:hAnsiTheme="minorHAnsi"/>
          <w:sz w:val="22"/>
          <w:lang w:val="en-US"/>
        </w:rPr>
        <w:t>Bratislavskom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regióne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uvažujú</w:t>
      </w:r>
      <w:proofErr w:type="spellEnd"/>
      <w:r>
        <w:rPr>
          <w:rFonts w:asciiTheme="minorHAnsi" w:hAnsiTheme="minorHAnsi"/>
          <w:sz w:val="22"/>
          <w:lang w:val="en-US"/>
        </w:rPr>
        <w:t xml:space="preserve"> o </w:t>
      </w:r>
      <w:proofErr w:type="spellStart"/>
      <w:r>
        <w:rPr>
          <w:rFonts w:asciiTheme="minorHAnsi" w:hAnsiTheme="minorHAnsi"/>
          <w:sz w:val="22"/>
          <w:lang w:val="en-US"/>
        </w:rPr>
        <w:t>využití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tzv</w:t>
      </w:r>
      <w:proofErr w:type="spellEnd"/>
      <w:r>
        <w:rPr>
          <w:rFonts w:asciiTheme="minorHAnsi" w:hAnsiTheme="minorHAnsi"/>
          <w:sz w:val="22"/>
          <w:lang w:val="en-US"/>
        </w:rPr>
        <w:t xml:space="preserve">. </w:t>
      </w:r>
      <w:proofErr w:type="spellStart"/>
      <w:r>
        <w:rPr>
          <w:rFonts w:asciiTheme="minorHAnsi" w:hAnsiTheme="minorHAnsi"/>
          <w:sz w:val="22"/>
          <w:lang w:val="en-US"/>
        </w:rPr>
        <w:t>voucherového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systému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na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základe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skúseností</w:t>
      </w:r>
      <w:proofErr w:type="spellEnd"/>
      <w:r>
        <w:rPr>
          <w:rFonts w:asciiTheme="minorHAnsi" w:hAnsiTheme="minorHAnsi"/>
          <w:sz w:val="22"/>
          <w:lang w:val="en-US"/>
        </w:rPr>
        <w:t xml:space="preserve"> z </w:t>
      </w:r>
      <w:proofErr w:type="spellStart"/>
      <w:r w:rsidR="00634C60">
        <w:rPr>
          <w:rFonts w:asciiTheme="minorHAnsi" w:hAnsiTheme="minorHAnsi"/>
          <w:sz w:val="22"/>
          <w:lang w:val="en-US"/>
        </w:rPr>
        <w:t>Č</w:t>
      </w:r>
      <w:r>
        <w:rPr>
          <w:rFonts w:asciiTheme="minorHAnsi" w:hAnsiTheme="minorHAnsi"/>
          <w:sz w:val="22"/>
          <w:lang w:val="en-US"/>
        </w:rPr>
        <w:t>eskej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republiky</w:t>
      </w:r>
      <w:proofErr w:type="spellEnd"/>
      <w:r>
        <w:rPr>
          <w:rFonts w:asciiTheme="minorHAnsi" w:hAnsiTheme="minorHAnsi"/>
          <w:sz w:val="22"/>
          <w:lang w:val="en-US"/>
        </w:rPr>
        <w:t xml:space="preserve">. V </w:t>
      </w:r>
      <w:proofErr w:type="spellStart"/>
      <w:r>
        <w:rPr>
          <w:rFonts w:asciiTheme="minorHAnsi" w:hAnsiTheme="minorHAnsi"/>
          <w:sz w:val="22"/>
          <w:lang w:val="en-US"/>
        </w:rPr>
        <w:t>Prešovskom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regióne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E7496">
        <w:rPr>
          <w:rFonts w:asciiTheme="minorHAnsi" w:hAnsiTheme="minorHAnsi"/>
          <w:sz w:val="22"/>
          <w:lang w:val="en-US"/>
        </w:rPr>
        <w:t>beží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E7496">
        <w:rPr>
          <w:rFonts w:asciiTheme="minorHAnsi" w:hAnsiTheme="minorHAnsi"/>
          <w:sz w:val="22"/>
          <w:lang w:val="en-US"/>
        </w:rPr>
        <w:t>niekoľko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E7496">
        <w:rPr>
          <w:rFonts w:asciiTheme="minorHAnsi" w:hAnsiTheme="minorHAnsi"/>
          <w:sz w:val="22"/>
          <w:lang w:val="en-US"/>
        </w:rPr>
        <w:t>projektov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, </w:t>
      </w:r>
      <w:proofErr w:type="spellStart"/>
      <w:r w:rsidR="006E7496">
        <w:rPr>
          <w:rFonts w:asciiTheme="minorHAnsi" w:hAnsiTheme="minorHAnsi"/>
          <w:sz w:val="22"/>
          <w:lang w:val="en-US"/>
        </w:rPr>
        <w:t>ktoré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E7496">
        <w:rPr>
          <w:rFonts w:asciiTheme="minorHAnsi" w:hAnsiTheme="minorHAnsi"/>
          <w:sz w:val="22"/>
          <w:lang w:val="en-US"/>
        </w:rPr>
        <w:t>podporujú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E7496">
        <w:rPr>
          <w:rFonts w:asciiTheme="minorHAnsi" w:hAnsiTheme="minorHAnsi"/>
          <w:sz w:val="22"/>
          <w:lang w:val="en-US"/>
        </w:rPr>
        <w:t>školy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 a </w:t>
      </w:r>
      <w:proofErr w:type="spellStart"/>
      <w:r w:rsidR="006E7496">
        <w:rPr>
          <w:rFonts w:asciiTheme="minorHAnsi" w:hAnsiTheme="minorHAnsi"/>
          <w:sz w:val="22"/>
          <w:lang w:val="en-US"/>
        </w:rPr>
        <w:t>učenie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 v </w:t>
      </w:r>
      <w:proofErr w:type="spellStart"/>
      <w:r w:rsidR="006E7496">
        <w:rPr>
          <w:rFonts w:asciiTheme="minorHAnsi" w:hAnsiTheme="minorHAnsi"/>
          <w:sz w:val="22"/>
          <w:lang w:val="en-US"/>
        </w:rPr>
        <w:t>nich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, </w:t>
      </w:r>
      <w:proofErr w:type="spellStart"/>
      <w:r w:rsidR="006E7496">
        <w:rPr>
          <w:rFonts w:asciiTheme="minorHAnsi" w:hAnsiTheme="minorHAnsi"/>
          <w:sz w:val="22"/>
          <w:lang w:val="en-US"/>
        </w:rPr>
        <w:t>ktoré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E7496">
        <w:rPr>
          <w:rFonts w:asciiTheme="minorHAnsi" w:hAnsiTheme="minorHAnsi"/>
          <w:sz w:val="22"/>
          <w:lang w:val="en-US"/>
        </w:rPr>
        <w:t>sú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E7496">
        <w:rPr>
          <w:rFonts w:asciiTheme="minorHAnsi" w:hAnsiTheme="minorHAnsi"/>
          <w:sz w:val="22"/>
          <w:lang w:val="en-US"/>
        </w:rPr>
        <w:t>podporované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34C60">
        <w:rPr>
          <w:rFonts w:asciiTheme="minorHAnsi" w:hAnsiTheme="minorHAnsi"/>
          <w:sz w:val="22"/>
          <w:lang w:val="en-US"/>
        </w:rPr>
        <w:t>Úradom</w:t>
      </w:r>
      <w:proofErr w:type="spellEnd"/>
      <w:r w:rsidR="00634C60">
        <w:rPr>
          <w:rFonts w:asciiTheme="minorHAnsi" w:hAnsiTheme="minorHAnsi"/>
          <w:sz w:val="22"/>
          <w:lang w:val="en-US"/>
        </w:rPr>
        <w:t xml:space="preserve"> PSK</w:t>
      </w:r>
      <w:r w:rsidR="006E7496">
        <w:rPr>
          <w:rFonts w:asciiTheme="minorHAnsi" w:hAnsiTheme="minorHAnsi"/>
          <w:sz w:val="22"/>
          <w:lang w:val="en-US"/>
        </w:rPr>
        <w:t xml:space="preserve">.  </w:t>
      </w:r>
    </w:p>
    <w:p w:rsidR="006E7496" w:rsidRDefault="006E7496">
      <w:pPr>
        <w:rPr>
          <w:rFonts w:asciiTheme="minorHAnsi" w:hAnsiTheme="minorHAnsi"/>
          <w:sz w:val="22"/>
          <w:lang w:val="en-US"/>
        </w:rPr>
      </w:pPr>
    </w:p>
    <w:p w:rsidR="006E7496" w:rsidRDefault="006E7496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Na </w:t>
      </w:r>
      <w:proofErr w:type="spellStart"/>
      <w:r>
        <w:rPr>
          <w:rFonts w:asciiTheme="minorHAnsi" w:hAnsiTheme="minorHAnsi"/>
          <w:sz w:val="22"/>
          <w:lang w:val="en-US"/>
        </w:rPr>
        <w:t>národnej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úrovni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respondenti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vymenovali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rôzne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konferencie</w:t>
      </w:r>
      <w:proofErr w:type="spellEnd"/>
      <w:r>
        <w:rPr>
          <w:rFonts w:asciiTheme="minorHAnsi" w:hAnsiTheme="minorHAnsi"/>
          <w:sz w:val="22"/>
          <w:lang w:val="en-US"/>
        </w:rPr>
        <w:t xml:space="preserve"> a </w:t>
      </w:r>
      <w:proofErr w:type="spellStart"/>
      <w:r>
        <w:rPr>
          <w:rFonts w:asciiTheme="minorHAnsi" w:hAnsiTheme="minorHAnsi"/>
          <w:sz w:val="22"/>
          <w:lang w:val="en-US"/>
        </w:rPr>
        <w:t>semináre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propagujúce</w:t>
      </w:r>
      <w:proofErr w:type="spellEnd"/>
      <w:r>
        <w:rPr>
          <w:rFonts w:asciiTheme="minorHAnsi" w:hAnsiTheme="minorHAnsi"/>
          <w:sz w:val="22"/>
          <w:lang w:val="en-US"/>
        </w:rPr>
        <w:t xml:space="preserve"> VD (s </w:t>
      </w:r>
      <w:proofErr w:type="spellStart"/>
      <w:r>
        <w:rPr>
          <w:rFonts w:asciiTheme="minorHAnsi" w:hAnsiTheme="minorHAnsi"/>
          <w:sz w:val="22"/>
          <w:lang w:val="en-US"/>
        </w:rPr>
        <w:t>cieľom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zvýšiť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záujem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občanov</w:t>
      </w:r>
      <w:proofErr w:type="spellEnd"/>
      <w:r>
        <w:rPr>
          <w:rFonts w:asciiTheme="minorHAnsi" w:hAnsiTheme="minorHAnsi"/>
          <w:sz w:val="22"/>
          <w:lang w:val="en-US"/>
        </w:rPr>
        <w:t xml:space="preserve"> o VD) a v </w:t>
      </w:r>
      <w:proofErr w:type="spellStart"/>
      <w:r>
        <w:rPr>
          <w:rFonts w:asciiTheme="minorHAnsi" w:hAnsiTheme="minorHAnsi"/>
          <w:sz w:val="22"/>
          <w:lang w:val="en-US"/>
        </w:rPr>
        <w:t>jednom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prípade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sa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jednalo</w:t>
      </w:r>
      <w:proofErr w:type="spellEnd"/>
      <w:r>
        <w:rPr>
          <w:rFonts w:asciiTheme="minorHAnsi" w:hAnsiTheme="minorHAnsi"/>
          <w:sz w:val="22"/>
          <w:lang w:val="en-US"/>
        </w:rPr>
        <w:t xml:space="preserve"> o </w:t>
      </w:r>
      <w:proofErr w:type="spellStart"/>
      <w:r>
        <w:rPr>
          <w:rFonts w:asciiTheme="minorHAnsi" w:hAnsiTheme="minorHAnsi"/>
          <w:sz w:val="22"/>
          <w:lang w:val="en-US"/>
        </w:rPr>
        <w:t>alokáciu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decentralizovaných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fondov</w:t>
      </w:r>
      <w:proofErr w:type="spellEnd"/>
      <w:r>
        <w:rPr>
          <w:rFonts w:asciiTheme="minorHAnsi" w:hAnsiTheme="minorHAnsi"/>
          <w:sz w:val="22"/>
          <w:lang w:val="en-US"/>
        </w:rPr>
        <w:t xml:space="preserve"> (EACEA) </w:t>
      </w:r>
      <w:proofErr w:type="spellStart"/>
      <w:r>
        <w:rPr>
          <w:rFonts w:asciiTheme="minorHAnsi" w:hAnsiTheme="minorHAnsi"/>
          <w:sz w:val="22"/>
          <w:lang w:val="en-US"/>
        </w:rPr>
        <w:t>cez</w:t>
      </w:r>
      <w:proofErr w:type="spellEnd"/>
      <w:r>
        <w:rPr>
          <w:rFonts w:asciiTheme="minorHAnsi" w:hAnsiTheme="minorHAnsi"/>
          <w:sz w:val="22"/>
          <w:lang w:val="en-US"/>
        </w:rPr>
        <w:t xml:space="preserve"> EÚ </w:t>
      </w:r>
      <w:proofErr w:type="spellStart"/>
      <w:r>
        <w:rPr>
          <w:rFonts w:asciiTheme="minorHAnsi" w:hAnsiTheme="minorHAnsi"/>
          <w:sz w:val="22"/>
          <w:lang w:val="en-US"/>
        </w:rPr>
        <w:t>výzvy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na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predkladanie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prjektov</w:t>
      </w:r>
      <w:proofErr w:type="spellEnd"/>
      <w:r>
        <w:rPr>
          <w:rFonts w:asciiTheme="minorHAnsi" w:hAnsiTheme="minorHAnsi"/>
          <w:sz w:val="22"/>
          <w:lang w:val="en-US"/>
        </w:rPr>
        <w:t xml:space="preserve"> (ERASMUS+).</w:t>
      </w:r>
    </w:p>
    <w:p w:rsidR="00634C60" w:rsidRDefault="00634C60" w:rsidP="00634C60">
      <w:pPr>
        <w:rPr>
          <w:rFonts w:ascii="Calibri" w:hAnsi="Calibri" w:cs="Tahoma"/>
          <w:bCs/>
          <w:sz w:val="22"/>
          <w:szCs w:val="22"/>
          <w:lang w:val="en-GB"/>
        </w:rPr>
      </w:pPr>
    </w:p>
    <w:p w:rsidR="00634C60" w:rsidRPr="00B7484A" w:rsidRDefault="00634C60" w:rsidP="00634C60">
      <w:pPr>
        <w:rPr>
          <w:rFonts w:ascii="Calibri" w:hAnsi="Calibri" w:cs="Tahoma"/>
          <w:bCs/>
          <w:i/>
          <w:sz w:val="22"/>
          <w:szCs w:val="22"/>
          <w:lang w:val="en-GB"/>
        </w:rPr>
      </w:pPr>
      <w:r>
        <w:rPr>
          <w:rFonts w:ascii="Calibri" w:hAnsi="Calibri" w:cs="Tahoma"/>
          <w:bCs/>
          <w:sz w:val="22"/>
          <w:szCs w:val="22"/>
          <w:lang w:val="en-GB"/>
        </w:rPr>
        <w:t xml:space="preserve">Na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národnej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úrovni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prebieha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aj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rozsiahly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národný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projekt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implementovaný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Národným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ústavom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pre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celoživotné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vzdelávanie pod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názvom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>Ďalšie</w:t>
      </w:r>
      <w:proofErr w:type="spellEnd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 xml:space="preserve"> vzdelávanie a </w:t>
      </w:r>
      <w:proofErr w:type="spellStart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>poradenstvo</w:t>
      </w:r>
      <w:proofErr w:type="spellEnd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 xml:space="preserve"> pre </w:t>
      </w:r>
      <w:proofErr w:type="spellStart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>dospelých</w:t>
      </w:r>
      <w:proofErr w:type="spellEnd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>ako</w:t>
      </w:r>
      <w:proofErr w:type="spellEnd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>nástroj</w:t>
      </w:r>
      <w:proofErr w:type="spellEnd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>lepšej</w:t>
      </w:r>
      <w:proofErr w:type="spellEnd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>uplatniteľnosti</w:t>
      </w:r>
      <w:proofErr w:type="spellEnd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>na</w:t>
      </w:r>
      <w:proofErr w:type="spellEnd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>trhu</w:t>
      </w:r>
      <w:proofErr w:type="spellEnd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 xml:space="preserve"> </w:t>
      </w:r>
      <w:proofErr w:type="spellStart"/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>práce</w:t>
      </w:r>
      <w:proofErr w:type="spellEnd"/>
      <w:r>
        <w:rPr>
          <w:rFonts w:ascii="Calibri" w:hAnsi="Calibri" w:cs="Tahoma"/>
          <w:bCs/>
          <w:i/>
          <w:sz w:val="22"/>
          <w:szCs w:val="22"/>
          <w:lang w:val="en-GB"/>
        </w:rPr>
        <w:t>.</w:t>
      </w:r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Projekt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navrhol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množstvo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tréningových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programov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ktorými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je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možné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získať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kvalifikácie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ktoré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boli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identifikované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ako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chýbajúce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na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trhu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práce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ako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aj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kurzy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pre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trénerov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a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vytvoril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poradenské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centrá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ktoré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poskytujú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poradenstvo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.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Projekt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bol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kritizovaný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že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nestavia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na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existujúcej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vzdelávacej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sieti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že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nespolupracuje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so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súkromnými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poskytovateľmi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vzdelávania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a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vytvára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nové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štruktúry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, s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neistou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budúcnosťou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po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ukončení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sz w:val="22"/>
          <w:szCs w:val="22"/>
          <w:lang w:val="en-GB"/>
        </w:rPr>
        <w:t>projektu</w:t>
      </w:r>
      <w:proofErr w:type="spellEnd"/>
      <w:r>
        <w:rPr>
          <w:rFonts w:ascii="Calibri" w:hAnsi="Calibri" w:cs="Tahoma"/>
          <w:bCs/>
          <w:sz w:val="22"/>
          <w:szCs w:val="22"/>
          <w:lang w:val="en-GB"/>
        </w:rPr>
        <w:t xml:space="preserve">. </w:t>
      </w:r>
      <w:r w:rsidRPr="00B7484A">
        <w:rPr>
          <w:rFonts w:ascii="Calibri" w:hAnsi="Calibri" w:cs="Tahoma"/>
          <w:bCs/>
          <w:i/>
          <w:sz w:val="22"/>
          <w:szCs w:val="22"/>
          <w:lang w:val="en-GB"/>
        </w:rPr>
        <w:t xml:space="preserve"> </w:t>
      </w:r>
    </w:p>
    <w:p w:rsidR="00DF69B8" w:rsidRDefault="00DF69B8">
      <w:pPr>
        <w:rPr>
          <w:rFonts w:asciiTheme="minorHAnsi" w:hAnsiTheme="minorHAnsi"/>
          <w:sz w:val="22"/>
          <w:lang w:val="en-US"/>
        </w:rPr>
      </w:pPr>
    </w:p>
    <w:p w:rsidR="006E7496" w:rsidRDefault="003040A5" w:rsidP="006E7496">
      <w:pPr>
        <w:rPr>
          <w:rFonts w:asciiTheme="minorHAnsi" w:hAnsiTheme="minorHAnsi"/>
          <w:sz w:val="22"/>
          <w:lang w:val="en-US"/>
        </w:rPr>
      </w:pPr>
      <w:proofErr w:type="spellStart"/>
      <w:r>
        <w:rPr>
          <w:rFonts w:asciiTheme="minorHAnsi" w:hAnsiTheme="minorHAnsi"/>
          <w:sz w:val="22"/>
          <w:lang w:val="en-US"/>
        </w:rPr>
        <w:t>N</w:t>
      </w:r>
      <w:r w:rsidR="006E7496">
        <w:rPr>
          <w:rFonts w:asciiTheme="minorHAnsi" w:hAnsiTheme="minorHAnsi"/>
          <w:sz w:val="22"/>
          <w:lang w:val="en-US"/>
        </w:rPr>
        <w:t>asledujúce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E7496">
        <w:rPr>
          <w:rFonts w:asciiTheme="minorHAnsi" w:hAnsiTheme="minorHAnsi"/>
          <w:sz w:val="22"/>
          <w:lang w:val="en-US"/>
        </w:rPr>
        <w:t>zistenia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E7496">
        <w:rPr>
          <w:rFonts w:asciiTheme="minorHAnsi" w:hAnsiTheme="minorHAnsi"/>
          <w:sz w:val="22"/>
          <w:lang w:val="en-US"/>
        </w:rPr>
        <w:t>možno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všeobecne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E7496">
        <w:rPr>
          <w:rFonts w:asciiTheme="minorHAnsi" w:hAnsiTheme="minorHAnsi"/>
          <w:sz w:val="22"/>
          <w:lang w:val="en-US"/>
        </w:rPr>
        <w:t>považovať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 za </w:t>
      </w:r>
      <w:proofErr w:type="spellStart"/>
      <w:r w:rsidR="00936ED5">
        <w:rPr>
          <w:rFonts w:asciiTheme="minorHAnsi" w:hAnsiTheme="minorHAnsi"/>
          <w:sz w:val="22"/>
          <w:lang w:val="en-US"/>
        </w:rPr>
        <w:t>zdroj</w:t>
      </w:r>
      <w:proofErr w:type="spellEnd"/>
      <w:r w:rsidR="00936ED5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E7496">
        <w:rPr>
          <w:rFonts w:asciiTheme="minorHAnsi" w:hAnsiTheme="minorHAnsi"/>
          <w:sz w:val="22"/>
          <w:lang w:val="en-US"/>
        </w:rPr>
        <w:t>probl</w:t>
      </w:r>
      <w:r w:rsidR="00936ED5">
        <w:rPr>
          <w:rFonts w:asciiTheme="minorHAnsi" w:hAnsiTheme="minorHAnsi"/>
          <w:sz w:val="22"/>
          <w:lang w:val="en-US"/>
        </w:rPr>
        <w:t>émov</w:t>
      </w:r>
      <w:proofErr w:type="spellEnd"/>
      <w:r w:rsidR="006E7496">
        <w:rPr>
          <w:rFonts w:asciiTheme="minorHAnsi" w:hAnsiTheme="minorHAnsi"/>
          <w:sz w:val="22"/>
          <w:lang w:val="en-US"/>
        </w:rPr>
        <w:t xml:space="preserve">: </w:t>
      </w:r>
    </w:p>
    <w:p w:rsidR="000E38B0" w:rsidRPr="006E7496" w:rsidRDefault="006E7496" w:rsidP="006E7496">
      <w:pPr>
        <w:pStyle w:val="Odsekzoznamu"/>
        <w:numPr>
          <w:ilvl w:val="0"/>
          <w:numId w:val="2"/>
        </w:numPr>
        <w:rPr>
          <w:rFonts w:asciiTheme="minorHAnsi" w:hAnsiTheme="minorHAnsi"/>
          <w:sz w:val="22"/>
          <w:lang w:val="en-US"/>
        </w:rPr>
      </w:pPr>
      <w:proofErr w:type="spellStart"/>
      <w:r>
        <w:rPr>
          <w:rFonts w:asciiTheme="minorHAnsi" w:hAnsiTheme="minorHAnsi"/>
          <w:sz w:val="22"/>
          <w:lang w:val="en-US"/>
        </w:rPr>
        <w:t>Nedostatok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záujmu</w:t>
      </w:r>
      <w:proofErr w:type="spellEnd"/>
      <w:r>
        <w:rPr>
          <w:rFonts w:asciiTheme="minorHAnsi" w:hAnsiTheme="minorHAnsi"/>
          <w:sz w:val="22"/>
          <w:lang w:val="en-US"/>
        </w:rPr>
        <w:t xml:space="preserve"> o VD/</w:t>
      </w:r>
      <w:proofErr w:type="spellStart"/>
      <w:r>
        <w:rPr>
          <w:rFonts w:asciiTheme="minorHAnsi" w:hAnsiTheme="minorHAnsi"/>
          <w:sz w:val="22"/>
          <w:lang w:val="en-US"/>
        </w:rPr>
        <w:t>ďalšie</w:t>
      </w:r>
      <w:proofErr w:type="spellEnd"/>
      <w:r>
        <w:rPr>
          <w:rFonts w:asciiTheme="minorHAnsi" w:hAnsiTheme="minorHAnsi"/>
          <w:sz w:val="22"/>
          <w:lang w:val="en-US"/>
        </w:rPr>
        <w:t xml:space="preserve"> vzdelávanie </w:t>
      </w:r>
      <w:proofErr w:type="spellStart"/>
      <w:r>
        <w:rPr>
          <w:rFonts w:asciiTheme="minorHAnsi" w:hAnsiTheme="minorHAnsi"/>
          <w:sz w:val="22"/>
          <w:lang w:val="en-US"/>
        </w:rPr>
        <w:t>zo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strany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občanov</w:t>
      </w:r>
      <w:proofErr w:type="spellEnd"/>
      <w:r w:rsidR="00234200" w:rsidRPr="006E7496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36ED5">
        <w:rPr>
          <w:rFonts w:asciiTheme="minorHAnsi" w:hAnsiTheme="minorHAnsi"/>
          <w:sz w:val="22"/>
          <w:lang w:val="en-US"/>
        </w:rPr>
        <w:t>všeobecne</w:t>
      </w:r>
      <w:proofErr w:type="spellEnd"/>
    </w:p>
    <w:p w:rsidR="000E38B0" w:rsidRDefault="006E7496" w:rsidP="000E38B0">
      <w:pPr>
        <w:pStyle w:val="Odsekzoznamu"/>
        <w:numPr>
          <w:ilvl w:val="0"/>
          <w:numId w:val="2"/>
        </w:numPr>
        <w:rPr>
          <w:rFonts w:asciiTheme="minorHAnsi" w:hAnsiTheme="minorHAnsi"/>
          <w:sz w:val="22"/>
          <w:lang w:val="en-US"/>
        </w:rPr>
      </w:pPr>
      <w:proofErr w:type="spellStart"/>
      <w:r>
        <w:rPr>
          <w:rFonts w:asciiTheme="minorHAnsi" w:hAnsiTheme="minorHAnsi"/>
          <w:sz w:val="22"/>
          <w:lang w:val="en-US"/>
        </w:rPr>
        <w:t>Nedostatok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zdrojov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financovania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aktivít</w:t>
      </w:r>
      <w:proofErr w:type="spellEnd"/>
      <w:r>
        <w:rPr>
          <w:rFonts w:asciiTheme="minorHAnsi" w:hAnsiTheme="minorHAnsi"/>
          <w:sz w:val="22"/>
          <w:lang w:val="en-US"/>
        </w:rPr>
        <w:t xml:space="preserve"> VD (</w:t>
      </w:r>
      <w:proofErr w:type="spellStart"/>
      <w:r w:rsidR="009211B9">
        <w:rPr>
          <w:rFonts w:asciiTheme="minorHAnsi" w:hAnsiTheme="minorHAnsi"/>
          <w:sz w:val="22"/>
          <w:lang w:val="en-US"/>
        </w:rPr>
        <w:t>nielen</w:t>
      </w:r>
      <w:proofErr w:type="spellEnd"/>
      <w:r w:rsidR="009211B9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211B9">
        <w:rPr>
          <w:rFonts w:asciiTheme="minorHAnsi" w:hAnsiTheme="minorHAnsi"/>
          <w:sz w:val="22"/>
          <w:lang w:val="en-US"/>
        </w:rPr>
        <w:t>profesionálne</w:t>
      </w:r>
      <w:proofErr w:type="spellEnd"/>
      <w:r w:rsidR="009211B9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211B9">
        <w:rPr>
          <w:rFonts w:asciiTheme="minorHAnsi" w:hAnsiTheme="minorHAnsi"/>
          <w:sz w:val="22"/>
          <w:lang w:val="en-US"/>
        </w:rPr>
        <w:t>tréning</w:t>
      </w:r>
      <w:r w:rsidR="003040A5">
        <w:rPr>
          <w:rFonts w:asciiTheme="minorHAnsi" w:hAnsiTheme="minorHAnsi"/>
          <w:sz w:val="22"/>
          <w:lang w:val="en-US"/>
        </w:rPr>
        <w:t>y</w:t>
      </w:r>
      <w:proofErr w:type="spellEnd"/>
      <w:r w:rsidR="003040A5">
        <w:rPr>
          <w:rFonts w:asciiTheme="minorHAnsi" w:hAnsiTheme="minorHAnsi"/>
          <w:sz w:val="22"/>
          <w:lang w:val="en-US"/>
        </w:rPr>
        <w:t>,</w:t>
      </w:r>
      <w:r w:rsidR="009211B9">
        <w:rPr>
          <w:rFonts w:asciiTheme="minorHAnsi" w:hAnsiTheme="minorHAnsi"/>
          <w:sz w:val="22"/>
          <w:lang w:val="en-US"/>
        </w:rPr>
        <w:t xml:space="preserve">  </w:t>
      </w:r>
      <w:proofErr w:type="spellStart"/>
      <w:r w:rsidR="009211B9">
        <w:rPr>
          <w:rFonts w:asciiTheme="minorHAnsi" w:hAnsiTheme="minorHAnsi"/>
          <w:sz w:val="22"/>
          <w:lang w:val="en-US"/>
        </w:rPr>
        <w:t>ktoré</w:t>
      </w:r>
      <w:proofErr w:type="spellEnd"/>
      <w:r w:rsidR="009211B9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211B9">
        <w:rPr>
          <w:rFonts w:asciiTheme="minorHAnsi" w:hAnsiTheme="minorHAnsi"/>
          <w:sz w:val="22"/>
          <w:lang w:val="en-US"/>
        </w:rPr>
        <w:t>majú</w:t>
      </w:r>
      <w:proofErr w:type="spellEnd"/>
      <w:r w:rsidR="009211B9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211B9">
        <w:rPr>
          <w:rFonts w:asciiTheme="minorHAnsi" w:hAnsiTheme="minorHAnsi"/>
          <w:sz w:val="22"/>
          <w:lang w:val="en-US"/>
        </w:rPr>
        <w:t>prepojenie</w:t>
      </w:r>
      <w:proofErr w:type="spellEnd"/>
      <w:r w:rsidR="009211B9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211B9">
        <w:rPr>
          <w:rFonts w:asciiTheme="minorHAnsi" w:hAnsiTheme="minorHAnsi"/>
          <w:sz w:val="22"/>
          <w:lang w:val="en-US"/>
        </w:rPr>
        <w:t>na</w:t>
      </w:r>
      <w:proofErr w:type="spellEnd"/>
      <w:r w:rsidR="009211B9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211B9">
        <w:rPr>
          <w:rFonts w:asciiTheme="minorHAnsi" w:hAnsiTheme="minorHAnsi"/>
          <w:sz w:val="22"/>
          <w:lang w:val="en-US"/>
        </w:rPr>
        <w:t>zamestnanosť</w:t>
      </w:r>
      <w:proofErr w:type="spellEnd"/>
      <w:r w:rsidR="00936ED5">
        <w:rPr>
          <w:rFonts w:asciiTheme="minorHAnsi" w:hAnsiTheme="minorHAnsi"/>
          <w:sz w:val="22"/>
          <w:lang w:val="en-US"/>
        </w:rPr>
        <w:t>,</w:t>
      </w:r>
      <w:r w:rsidR="009211B9">
        <w:rPr>
          <w:rFonts w:asciiTheme="minorHAnsi" w:hAnsiTheme="minorHAnsi"/>
          <w:sz w:val="22"/>
          <w:lang w:val="en-US"/>
        </w:rPr>
        <w:t xml:space="preserve"> ale </w:t>
      </w:r>
      <w:proofErr w:type="spellStart"/>
      <w:r w:rsidR="009211B9">
        <w:rPr>
          <w:rFonts w:asciiTheme="minorHAnsi" w:hAnsiTheme="minorHAnsi"/>
          <w:sz w:val="22"/>
          <w:lang w:val="en-US"/>
        </w:rPr>
        <w:t>tiež</w:t>
      </w:r>
      <w:proofErr w:type="spellEnd"/>
      <w:r w:rsidR="009211B9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211B9">
        <w:rPr>
          <w:rFonts w:asciiTheme="minorHAnsi" w:hAnsiTheme="minorHAnsi"/>
          <w:sz w:val="22"/>
          <w:lang w:val="en-US"/>
        </w:rPr>
        <w:t>a</w:t>
      </w:r>
      <w:r w:rsidR="00936ED5">
        <w:rPr>
          <w:rFonts w:asciiTheme="minorHAnsi" w:hAnsiTheme="minorHAnsi"/>
          <w:sz w:val="22"/>
          <w:lang w:val="en-US"/>
        </w:rPr>
        <w:t>k</w:t>
      </w:r>
      <w:r w:rsidR="009211B9">
        <w:rPr>
          <w:rFonts w:asciiTheme="minorHAnsi" w:hAnsiTheme="minorHAnsi"/>
          <w:sz w:val="22"/>
          <w:lang w:val="en-US"/>
        </w:rPr>
        <w:t>tivity</w:t>
      </w:r>
      <w:proofErr w:type="spellEnd"/>
      <w:r w:rsidR="009211B9">
        <w:rPr>
          <w:rFonts w:asciiTheme="minorHAnsi" w:hAnsiTheme="minorHAnsi"/>
          <w:sz w:val="22"/>
          <w:lang w:val="en-US"/>
        </w:rPr>
        <w:t xml:space="preserve"> pre</w:t>
      </w:r>
      <w:r w:rsidR="00936ED5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211B9">
        <w:rPr>
          <w:rFonts w:asciiTheme="minorHAnsi" w:hAnsiTheme="minorHAnsi"/>
          <w:sz w:val="22"/>
          <w:lang w:val="en-US"/>
        </w:rPr>
        <w:t>osobný</w:t>
      </w:r>
      <w:proofErr w:type="spellEnd"/>
      <w:r w:rsidR="009211B9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211B9">
        <w:rPr>
          <w:rFonts w:asciiTheme="minorHAnsi" w:hAnsiTheme="minorHAnsi"/>
          <w:sz w:val="22"/>
          <w:lang w:val="en-US"/>
        </w:rPr>
        <w:t>rast</w:t>
      </w:r>
      <w:proofErr w:type="spellEnd"/>
      <w:r w:rsidR="009211B9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211B9">
        <w:rPr>
          <w:rFonts w:asciiTheme="minorHAnsi" w:hAnsiTheme="minorHAnsi"/>
          <w:sz w:val="22"/>
          <w:lang w:val="en-US"/>
        </w:rPr>
        <w:t>obyvateľov</w:t>
      </w:r>
      <w:proofErr w:type="spellEnd"/>
      <w:r w:rsidR="009211B9">
        <w:rPr>
          <w:rFonts w:asciiTheme="minorHAnsi" w:hAnsiTheme="minorHAnsi"/>
          <w:sz w:val="22"/>
          <w:lang w:val="en-US"/>
        </w:rPr>
        <w:t>)</w:t>
      </w:r>
    </w:p>
    <w:p w:rsidR="000E38B0" w:rsidRDefault="009211B9" w:rsidP="000E38B0">
      <w:pPr>
        <w:pStyle w:val="Odsekzoznamu"/>
        <w:numPr>
          <w:ilvl w:val="0"/>
          <w:numId w:val="2"/>
        </w:numPr>
        <w:rPr>
          <w:rFonts w:asciiTheme="minorHAnsi" w:hAnsiTheme="minorHAnsi"/>
          <w:sz w:val="22"/>
          <w:lang w:val="en-US"/>
        </w:rPr>
      </w:pPr>
      <w:proofErr w:type="spellStart"/>
      <w:r>
        <w:rPr>
          <w:rFonts w:asciiTheme="minorHAnsi" w:hAnsiTheme="minorHAnsi"/>
          <w:sz w:val="22"/>
          <w:lang w:val="en-US"/>
        </w:rPr>
        <w:t>Nedostatočná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ponuka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reagujúca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na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potreby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trhu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práce</w:t>
      </w:r>
      <w:proofErr w:type="spellEnd"/>
      <w:r w:rsidR="000E38B0">
        <w:rPr>
          <w:rFonts w:asciiTheme="minorHAnsi" w:hAnsiTheme="minorHAnsi"/>
          <w:sz w:val="22"/>
          <w:lang w:val="en-US"/>
        </w:rPr>
        <w:t xml:space="preserve">  </w:t>
      </w:r>
    </w:p>
    <w:p w:rsidR="000E38B0" w:rsidRDefault="009211B9" w:rsidP="000E38B0">
      <w:pPr>
        <w:pStyle w:val="Odsekzoznamu"/>
        <w:numPr>
          <w:ilvl w:val="0"/>
          <w:numId w:val="2"/>
        </w:numPr>
        <w:rPr>
          <w:rFonts w:asciiTheme="minorHAnsi" w:hAnsiTheme="minorHAnsi"/>
          <w:sz w:val="22"/>
          <w:lang w:val="en-US"/>
        </w:rPr>
      </w:pPr>
      <w:proofErr w:type="spellStart"/>
      <w:r>
        <w:rPr>
          <w:rFonts w:asciiTheme="minorHAnsi" w:hAnsiTheme="minorHAnsi"/>
          <w:sz w:val="22"/>
          <w:lang w:val="en-US"/>
        </w:rPr>
        <w:t>Neexistujúci</w:t>
      </w:r>
      <w:proofErr w:type="spellEnd"/>
      <w:r>
        <w:rPr>
          <w:rFonts w:asciiTheme="minorHAnsi" w:hAnsiTheme="minorHAnsi"/>
          <w:sz w:val="22"/>
          <w:lang w:val="en-US"/>
        </w:rPr>
        <w:t xml:space="preserve"> system </w:t>
      </w:r>
      <w:proofErr w:type="spellStart"/>
      <w:r>
        <w:rPr>
          <w:rFonts w:asciiTheme="minorHAnsi" w:hAnsiTheme="minorHAnsi"/>
          <w:sz w:val="22"/>
          <w:lang w:val="en-US"/>
        </w:rPr>
        <w:t>uznávania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výsledkov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neformáln</w:t>
      </w:r>
      <w:r w:rsidR="00634C60">
        <w:rPr>
          <w:rFonts w:asciiTheme="minorHAnsi" w:hAnsiTheme="minorHAnsi"/>
          <w:sz w:val="22"/>
          <w:lang w:val="en-US"/>
        </w:rPr>
        <w:t>eho</w:t>
      </w:r>
      <w:proofErr w:type="spellEnd"/>
      <w:r w:rsidR="00634C60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34C60">
        <w:rPr>
          <w:rFonts w:asciiTheme="minorHAnsi" w:hAnsiTheme="minorHAnsi"/>
          <w:sz w:val="22"/>
          <w:lang w:val="en-US"/>
        </w:rPr>
        <w:t>vzdelávania</w:t>
      </w:r>
      <w:proofErr w:type="spellEnd"/>
    </w:p>
    <w:p w:rsidR="00F65994" w:rsidRDefault="009211B9" w:rsidP="000E38B0">
      <w:pPr>
        <w:pStyle w:val="Odsekzoznamu"/>
        <w:numPr>
          <w:ilvl w:val="0"/>
          <w:numId w:val="2"/>
        </w:numPr>
        <w:rPr>
          <w:rFonts w:asciiTheme="minorHAnsi" w:hAnsiTheme="minorHAnsi"/>
          <w:sz w:val="22"/>
          <w:lang w:val="en-US"/>
        </w:rPr>
      </w:pPr>
      <w:proofErr w:type="spellStart"/>
      <w:r>
        <w:rPr>
          <w:rFonts w:asciiTheme="minorHAnsi" w:hAnsiTheme="minorHAnsi"/>
          <w:sz w:val="22"/>
          <w:lang w:val="en-US"/>
        </w:rPr>
        <w:t>Neexistujúci</w:t>
      </w:r>
      <w:proofErr w:type="spellEnd"/>
      <w:r>
        <w:rPr>
          <w:rFonts w:asciiTheme="minorHAnsi" w:hAnsiTheme="minorHAnsi"/>
          <w:sz w:val="22"/>
          <w:lang w:val="en-US"/>
        </w:rPr>
        <w:t xml:space="preserve"> system </w:t>
      </w:r>
      <w:proofErr w:type="spellStart"/>
      <w:r>
        <w:rPr>
          <w:rFonts w:asciiTheme="minorHAnsi" w:hAnsiTheme="minorHAnsi"/>
          <w:sz w:val="22"/>
          <w:lang w:val="en-US"/>
        </w:rPr>
        <w:t>uznávania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vzdelania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634C60">
        <w:rPr>
          <w:rFonts w:asciiTheme="minorHAnsi" w:hAnsiTheme="minorHAnsi"/>
          <w:sz w:val="22"/>
          <w:lang w:val="en-US"/>
        </w:rPr>
        <w:t>lektorov</w:t>
      </w:r>
      <w:proofErr w:type="spellEnd"/>
      <w:r>
        <w:rPr>
          <w:rFonts w:asciiTheme="minorHAnsi" w:hAnsiTheme="minorHAnsi"/>
          <w:sz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lang w:val="en-US"/>
        </w:rPr>
        <w:t>vrátane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ich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zručností</w:t>
      </w:r>
      <w:proofErr w:type="spellEnd"/>
      <w:r>
        <w:rPr>
          <w:rFonts w:asciiTheme="minorHAnsi" w:hAnsiTheme="minorHAnsi"/>
          <w:sz w:val="22"/>
          <w:lang w:val="en-US"/>
        </w:rPr>
        <w:t xml:space="preserve"> , </w:t>
      </w:r>
      <w:proofErr w:type="spellStart"/>
      <w:r>
        <w:rPr>
          <w:rFonts w:asciiTheme="minorHAnsi" w:hAnsiTheme="minorHAnsi"/>
          <w:sz w:val="22"/>
          <w:lang w:val="en-US"/>
        </w:rPr>
        <w:t>ktoré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získali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praxou</w:t>
      </w:r>
      <w:proofErr w:type="spellEnd"/>
      <w:r>
        <w:rPr>
          <w:rFonts w:asciiTheme="minorHAnsi" w:hAnsiTheme="minorHAnsi"/>
          <w:sz w:val="22"/>
          <w:lang w:val="en-US"/>
        </w:rPr>
        <w:t xml:space="preserve">, </w:t>
      </w:r>
      <w:proofErr w:type="spellStart"/>
      <w:r>
        <w:rPr>
          <w:rFonts w:asciiTheme="minorHAnsi" w:hAnsiTheme="minorHAnsi"/>
          <w:sz w:val="22"/>
          <w:lang w:val="en-US"/>
        </w:rPr>
        <w:t>neformálnym</w:t>
      </w:r>
      <w:proofErr w:type="spellEnd"/>
      <w:r>
        <w:rPr>
          <w:rFonts w:asciiTheme="minorHAnsi" w:hAnsiTheme="minorHAnsi"/>
          <w:sz w:val="22"/>
          <w:lang w:val="en-US"/>
        </w:rPr>
        <w:t xml:space="preserve"> a </w:t>
      </w:r>
      <w:proofErr w:type="spellStart"/>
      <w:r>
        <w:rPr>
          <w:rFonts w:asciiTheme="minorHAnsi" w:hAnsiTheme="minorHAnsi"/>
          <w:sz w:val="22"/>
          <w:lang w:val="en-US"/>
        </w:rPr>
        <w:t>informálnym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936ED5">
        <w:rPr>
          <w:rFonts w:asciiTheme="minorHAnsi" w:hAnsiTheme="minorHAnsi"/>
          <w:sz w:val="22"/>
          <w:lang w:val="en-US"/>
        </w:rPr>
        <w:t>vzdelávaním</w:t>
      </w:r>
      <w:proofErr w:type="spellEnd"/>
    </w:p>
    <w:p w:rsidR="000E38B0" w:rsidRDefault="009211B9" w:rsidP="000E38B0">
      <w:pPr>
        <w:pStyle w:val="Odsekzoznamu"/>
        <w:numPr>
          <w:ilvl w:val="0"/>
          <w:numId w:val="2"/>
        </w:num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VD </w:t>
      </w:r>
      <w:proofErr w:type="spellStart"/>
      <w:r>
        <w:rPr>
          <w:rFonts w:asciiTheme="minorHAnsi" w:hAnsiTheme="minorHAnsi"/>
          <w:sz w:val="22"/>
          <w:lang w:val="en-US"/>
        </w:rPr>
        <w:t>nie</w:t>
      </w:r>
      <w:proofErr w:type="spellEnd"/>
      <w:r>
        <w:rPr>
          <w:rFonts w:asciiTheme="minorHAnsi" w:hAnsiTheme="minorHAnsi"/>
          <w:sz w:val="22"/>
          <w:lang w:val="en-US"/>
        </w:rPr>
        <w:t xml:space="preserve"> je </w:t>
      </w:r>
      <w:proofErr w:type="spellStart"/>
      <w:r>
        <w:rPr>
          <w:rFonts w:asciiTheme="minorHAnsi" w:hAnsiTheme="minorHAnsi"/>
          <w:sz w:val="22"/>
          <w:lang w:val="en-US"/>
        </w:rPr>
        <w:t>uspokojivo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definované</w:t>
      </w:r>
      <w:proofErr w:type="spellEnd"/>
      <w:r>
        <w:rPr>
          <w:rFonts w:asciiTheme="minorHAnsi" w:hAnsiTheme="minorHAnsi"/>
          <w:sz w:val="22"/>
          <w:lang w:val="en-US"/>
        </w:rPr>
        <w:t xml:space="preserve"> a </w:t>
      </w:r>
      <w:proofErr w:type="spellStart"/>
      <w:r>
        <w:rPr>
          <w:rFonts w:asciiTheme="minorHAnsi" w:hAnsiTheme="minorHAnsi"/>
          <w:sz w:val="22"/>
          <w:lang w:val="en-US"/>
        </w:rPr>
        <w:t>uznávané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ako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samostatná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politika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Ministertstvom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lang w:val="en-US"/>
        </w:rPr>
        <w:t>školstva</w:t>
      </w:r>
      <w:proofErr w:type="spellEnd"/>
      <w:r>
        <w:rPr>
          <w:rFonts w:asciiTheme="minorHAnsi" w:hAnsiTheme="minorHAnsi"/>
          <w:sz w:val="22"/>
          <w:lang w:val="en-US"/>
        </w:rPr>
        <w:t xml:space="preserve"> </w:t>
      </w:r>
    </w:p>
    <w:p w:rsidR="00B7484A" w:rsidRPr="00B7484A" w:rsidRDefault="009211B9" w:rsidP="00B7484A">
      <w:pPr>
        <w:pStyle w:val="Odsekzoznamu"/>
        <w:numPr>
          <w:ilvl w:val="0"/>
          <w:numId w:val="2"/>
        </w:numPr>
        <w:rPr>
          <w:lang w:val="en-US"/>
        </w:rPr>
      </w:pPr>
      <w:proofErr w:type="spellStart"/>
      <w:r w:rsidRPr="00B7484A">
        <w:rPr>
          <w:rFonts w:asciiTheme="minorHAnsi" w:hAnsiTheme="minorHAnsi"/>
          <w:sz w:val="22"/>
          <w:lang w:val="en-US"/>
        </w:rPr>
        <w:t>Slabá</w:t>
      </w:r>
      <w:proofErr w:type="spellEnd"/>
      <w:r w:rsidRPr="00B7484A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B7484A">
        <w:rPr>
          <w:rFonts w:asciiTheme="minorHAnsi" w:hAnsiTheme="minorHAnsi"/>
          <w:sz w:val="22"/>
          <w:lang w:val="en-US"/>
        </w:rPr>
        <w:t>úroveň</w:t>
      </w:r>
      <w:proofErr w:type="spellEnd"/>
      <w:r w:rsidRPr="00B7484A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B7484A">
        <w:rPr>
          <w:rFonts w:asciiTheme="minorHAnsi" w:hAnsiTheme="minorHAnsi"/>
          <w:sz w:val="22"/>
          <w:lang w:val="en-US"/>
        </w:rPr>
        <w:t>spol</w:t>
      </w:r>
      <w:r w:rsidR="00634C60">
        <w:rPr>
          <w:rFonts w:asciiTheme="minorHAnsi" w:hAnsiTheme="minorHAnsi"/>
          <w:sz w:val="22"/>
          <w:lang w:val="en-US"/>
        </w:rPr>
        <w:t>u</w:t>
      </w:r>
      <w:r w:rsidRPr="00B7484A">
        <w:rPr>
          <w:rFonts w:asciiTheme="minorHAnsi" w:hAnsiTheme="minorHAnsi"/>
          <w:sz w:val="22"/>
          <w:lang w:val="en-US"/>
        </w:rPr>
        <w:t>práce</w:t>
      </w:r>
      <w:proofErr w:type="spellEnd"/>
      <w:r w:rsidRPr="00B7484A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B7484A">
        <w:rPr>
          <w:rFonts w:asciiTheme="minorHAnsi" w:hAnsiTheme="minorHAnsi"/>
          <w:sz w:val="22"/>
          <w:lang w:val="en-US"/>
        </w:rPr>
        <w:t>medzi</w:t>
      </w:r>
      <w:proofErr w:type="spellEnd"/>
      <w:r w:rsidRPr="00B7484A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B7484A">
        <w:rPr>
          <w:rFonts w:asciiTheme="minorHAnsi" w:hAnsiTheme="minorHAnsi"/>
          <w:sz w:val="22"/>
          <w:lang w:val="en-US"/>
        </w:rPr>
        <w:t>riad</w:t>
      </w:r>
      <w:r w:rsidR="00634C60">
        <w:rPr>
          <w:rFonts w:asciiTheme="minorHAnsi" w:hAnsiTheme="minorHAnsi"/>
          <w:sz w:val="22"/>
          <w:lang w:val="en-US"/>
        </w:rPr>
        <w:t>i</w:t>
      </w:r>
      <w:r w:rsidRPr="00B7484A">
        <w:rPr>
          <w:rFonts w:asciiTheme="minorHAnsi" w:hAnsiTheme="minorHAnsi"/>
          <w:sz w:val="22"/>
          <w:lang w:val="en-US"/>
        </w:rPr>
        <w:t>acimi</w:t>
      </w:r>
      <w:proofErr w:type="spellEnd"/>
      <w:r w:rsidRPr="00B7484A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Pr="00B7484A">
        <w:rPr>
          <w:rFonts w:asciiTheme="minorHAnsi" w:hAnsiTheme="minorHAnsi"/>
          <w:sz w:val="22"/>
          <w:lang w:val="en-US"/>
        </w:rPr>
        <w:t>orgánmi</w:t>
      </w:r>
      <w:proofErr w:type="spellEnd"/>
      <w:r w:rsidRPr="00B7484A">
        <w:rPr>
          <w:rFonts w:asciiTheme="minorHAnsi" w:hAnsiTheme="minorHAnsi"/>
          <w:sz w:val="22"/>
          <w:lang w:val="en-US"/>
        </w:rPr>
        <w:t xml:space="preserve"> a </w:t>
      </w:r>
      <w:proofErr w:type="spellStart"/>
      <w:r w:rsidR="00B7484A" w:rsidRPr="00B7484A">
        <w:rPr>
          <w:rFonts w:asciiTheme="minorHAnsi" w:hAnsiTheme="minorHAnsi"/>
          <w:sz w:val="22"/>
          <w:lang w:val="en-US"/>
        </w:rPr>
        <w:t>súkromnými</w:t>
      </w:r>
      <w:proofErr w:type="spellEnd"/>
      <w:r w:rsidR="00B7484A" w:rsidRPr="00B7484A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B7484A" w:rsidRPr="00B7484A">
        <w:rPr>
          <w:rFonts w:asciiTheme="minorHAnsi" w:hAnsiTheme="minorHAnsi"/>
          <w:sz w:val="22"/>
          <w:lang w:val="en-US"/>
        </w:rPr>
        <w:t>poskytovateľmi</w:t>
      </w:r>
      <w:proofErr w:type="spellEnd"/>
      <w:r w:rsidR="00B7484A" w:rsidRPr="00B7484A">
        <w:rPr>
          <w:rFonts w:asciiTheme="minorHAnsi" w:hAnsiTheme="minorHAnsi"/>
          <w:sz w:val="22"/>
          <w:lang w:val="en-US"/>
        </w:rPr>
        <w:t xml:space="preserve"> </w:t>
      </w:r>
      <w:proofErr w:type="spellStart"/>
      <w:r w:rsidR="00B7484A" w:rsidRPr="00B7484A">
        <w:rPr>
          <w:rFonts w:asciiTheme="minorHAnsi" w:hAnsiTheme="minorHAnsi"/>
          <w:sz w:val="22"/>
          <w:lang w:val="en-US"/>
        </w:rPr>
        <w:t>kurzov</w:t>
      </w:r>
      <w:proofErr w:type="spellEnd"/>
      <w:r w:rsidR="00B7484A" w:rsidRPr="00B7484A">
        <w:rPr>
          <w:rFonts w:asciiTheme="minorHAnsi" w:hAnsiTheme="minorHAnsi"/>
          <w:sz w:val="22"/>
          <w:lang w:val="en-US"/>
        </w:rPr>
        <w:t xml:space="preserve"> pre </w:t>
      </w:r>
      <w:proofErr w:type="spellStart"/>
      <w:r w:rsidR="00B7484A" w:rsidRPr="00B7484A">
        <w:rPr>
          <w:rFonts w:asciiTheme="minorHAnsi" w:hAnsiTheme="minorHAnsi"/>
          <w:sz w:val="22"/>
          <w:lang w:val="en-US"/>
        </w:rPr>
        <w:t>dosp</w:t>
      </w:r>
      <w:r w:rsidR="00B7484A">
        <w:rPr>
          <w:rFonts w:asciiTheme="minorHAnsi" w:hAnsiTheme="minorHAnsi"/>
          <w:sz w:val="22"/>
          <w:lang w:val="en-US"/>
        </w:rPr>
        <w:t>elý</w:t>
      </w:r>
      <w:r w:rsidR="00B7484A" w:rsidRPr="00B7484A">
        <w:rPr>
          <w:rFonts w:asciiTheme="minorHAnsi" w:hAnsiTheme="minorHAnsi"/>
          <w:sz w:val="22"/>
          <w:lang w:val="en-US"/>
        </w:rPr>
        <w:t>ch</w:t>
      </w:r>
      <w:proofErr w:type="spellEnd"/>
      <w:r w:rsidR="00B7484A" w:rsidRPr="00B7484A">
        <w:rPr>
          <w:rFonts w:asciiTheme="minorHAnsi" w:hAnsiTheme="minorHAnsi"/>
          <w:sz w:val="22"/>
          <w:lang w:val="en-US"/>
        </w:rPr>
        <w:t xml:space="preserve"> </w:t>
      </w:r>
    </w:p>
    <w:p w:rsidR="00B7484A" w:rsidRDefault="00B7484A" w:rsidP="00B7484A">
      <w:pPr>
        <w:rPr>
          <w:rFonts w:ascii="Calibri" w:hAnsi="Calibri" w:cs="Tahoma"/>
          <w:bCs/>
          <w:sz w:val="22"/>
          <w:szCs w:val="22"/>
          <w:lang w:val="en-GB"/>
        </w:rPr>
      </w:pPr>
    </w:p>
    <w:p w:rsidR="00B7484A" w:rsidRDefault="00B7484A" w:rsidP="00B7484A">
      <w:pPr>
        <w:rPr>
          <w:rFonts w:ascii="Calibri" w:hAnsi="Calibri" w:cs="Tahoma"/>
          <w:bCs/>
          <w:sz w:val="22"/>
          <w:szCs w:val="22"/>
          <w:lang w:val="en-GB"/>
        </w:rPr>
      </w:pPr>
    </w:p>
    <w:p w:rsidR="005636AE" w:rsidRPr="00307B2D" w:rsidRDefault="005636AE" w:rsidP="00307B2D">
      <w:pPr>
        <w:rPr>
          <w:rFonts w:asciiTheme="minorHAnsi" w:hAnsiTheme="minorHAnsi"/>
          <w:sz w:val="22"/>
          <w:lang w:val="en-US"/>
        </w:rPr>
      </w:pPr>
      <w:r w:rsidRPr="00307B2D">
        <w:rPr>
          <w:rFonts w:asciiTheme="minorHAnsi" w:hAnsiTheme="minorHAnsi"/>
          <w:sz w:val="22"/>
          <w:lang w:val="en-US"/>
        </w:rPr>
        <w:br w:type="page"/>
      </w:r>
    </w:p>
    <w:p w:rsidR="00D31F73" w:rsidRPr="00C72B72" w:rsidRDefault="009B1DD6" w:rsidP="009B1DD6">
      <w:pPr>
        <w:pStyle w:val="Nadpis2"/>
        <w:rPr>
          <w:lang w:val="sk-SK"/>
        </w:rPr>
      </w:pPr>
      <w:bookmarkStart w:id="3" w:name="_Toc421866797"/>
      <w:r w:rsidRPr="00C72B72">
        <w:rPr>
          <w:lang w:val="sk-SK"/>
        </w:rPr>
        <w:lastRenderedPageBreak/>
        <w:t xml:space="preserve">Financovanie </w:t>
      </w:r>
      <w:r w:rsidR="00FA7E2D">
        <w:rPr>
          <w:lang w:val="sk-SK"/>
        </w:rPr>
        <w:t>vzdelávania dospelých</w:t>
      </w:r>
      <w:bookmarkEnd w:id="3"/>
    </w:p>
    <w:p w:rsidR="00936ED5" w:rsidRPr="00C72B72" w:rsidRDefault="00936ED5" w:rsidP="00936ED5">
      <w:pPr>
        <w:rPr>
          <w:rFonts w:asciiTheme="minorHAnsi" w:hAnsiTheme="minorHAnsi"/>
          <w:sz w:val="22"/>
          <w:lang w:val="sk-SK"/>
        </w:rPr>
      </w:pPr>
      <w:r w:rsidRPr="00C72B72">
        <w:rPr>
          <w:rFonts w:asciiTheme="minorHAnsi" w:hAnsiTheme="minorHAnsi"/>
          <w:sz w:val="22"/>
          <w:lang w:val="sk-SK"/>
        </w:rPr>
        <w:t xml:space="preserve">Ako hlavný zdroj verejného financovania všetci </w:t>
      </w:r>
      <w:r w:rsidR="00C72B72" w:rsidRPr="00C72B72">
        <w:rPr>
          <w:rFonts w:asciiTheme="minorHAnsi" w:hAnsiTheme="minorHAnsi"/>
          <w:sz w:val="22"/>
          <w:lang w:val="sk-SK"/>
        </w:rPr>
        <w:t>respondenti</w:t>
      </w:r>
      <w:r w:rsidRPr="00C72B72">
        <w:rPr>
          <w:rFonts w:asciiTheme="minorHAnsi" w:hAnsiTheme="minorHAnsi"/>
          <w:sz w:val="22"/>
          <w:lang w:val="sk-SK"/>
        </w:rPr>
        <w:t xml:space="preserve"> uvádzali fondy EÚ, v prípade národnej úrovne to bolo 100% financovania, na regionálnej úrovni sa využívali aj národné a regionálne zdroje. V jednom prípade </w:t>
      </w:r>
      <w:r w:rsidR="004A0B6D" w:rsidRPr="00C72B72">
        <w:rPr>
          <w:rFonts w:asciiTheme="minorHAnsi" w:hAnsiTheme="minorHAnsi"/>
          <w:sz w:val="22"/>
          <w:lang w:val="sk-SK"/>
        </w:rPr>
        <w:t xml:space="preserve">národná agentúra ako zdroj financovania spomínala aj zamestnávateľov. Všetci </w:t>
      </w:r>
      <w:r w:rsidR="00C72B72">
        <w:rPr>
          <w:rFonts w:asciiTheme="minorHAnsi" w:hAnsiTheme="minorHAnsi"/>
          <w:sz w:val="22"/>
          <w:lang w:val="sk-SK"/>
        </w:rPr>
        <w:t>respo</w:t>
      </w:r>
      <w:r w:rsidR="00C72B72" w:rsidRPr="00C72B72">
        <w:rPr>
          <w:rFonts w:asciiTheme="minorHAnsi" w:hAnsiTheme="minorHAnsi"/>
          <w:sz w:val="22"/>
          <w:lang w:val="sk-SK"/>
        </w:rPr>
        <w:t>ndenti</w:t>
      </w:r>
      <w:r w:rsidR="004A0B6D" w:rsidRPr="00C72B72">
        <w:rPr>
          <w:rFonts w:asciiTheme="minorHAnsi" w:hAnsiTheme="minorHAnsi"/>
          <w:sz w:val="22"/>
          <w:lang w:val="sk-SK"/>
        </w:rPr>
        <w:t xml:space="preserve"> hovorili, že pracujú so zdrojmi EÚ podľa EÚ/národných pravidiel na </w:t>
      </w:r>
      <w:r w:rsidR="00650515">
        <w:rPr>
          <w:rFonts w:asciiTheme="minorHAnsi" w:hAnsiTheme="minorHAnsi"/>
          <w:sz w:val="22"/>
          <w:lang w:val="sk-SK"/>
        </w:rPr>
        <w:t>báze</w:t>
      </w:r>
      <w:r w:rsidR="00650515" w:rsidRPr="00C72B72">
        <w:rPr>
          <w:rFonts w:asciiTheme="minorHAnsi" w:hAnsiTheme="minorHAnsi"/>
          <w:sz w:val="22"/>
          <w:lang w:val="sk-SK"/>
        </w:rPr>
        <w:t xml:space="preserve"> </w:t>
      </w:r>
      <w:r w:rsidR="004A0B6D" w:rsidRPr="00C72B72">
        <w:rPr>
          <w:rFonts w:asciiTheme="minorHAnsi" w:hAnsiTheme="minorHAnsi"/>
          <w:sz w:val="22"/>
          <w:lang w:val="sk-SK"/>
        </w:rPr>
        <w:t xml:space="preserve">projektov. </w:t>
      </w:r>
      <w:r w:rsidR="00C535FF">
        <w:rPr>
          <w:rFonts w:asciiTheme="minorHAnsi" w:hAnsiTheme="minorHAnsi"/>
          <w:sz w:val="22"/>
          <w:lang w:val="sk-SK"/>
        </w:rPr>
        <w:t>Verejno-súkromné partnerstvá (</w:t>
      </w:r>
      <w:r w:rsidR="004A0B6D" w:rsidRPr="00C72B72">
        <w:rPr>
          <w:rFonts w:asciiTheme="minorHAnsi" w:hAnsiTheme="minorHAnsi"/>
          <w:sz w:val="22"/>
          <w:lang w:val="sk-SK"/>
        </w:rPr>
        <w:t>PPP</w:t>
      </w:r>
      <w:r w:rsidR="00C535FF">
        <w:rPr>
          <w:rFonts w:asciiTheme="minorHAnsi" w:hAnsiTheme="minorHAnsi"/>
          <w:sz w:val="22"/>
          <w:lang w:val="sk-SK"/>
        </w:rPr>
        <w:t xml:space="preserve">, </w:t>
      </w:r>
      <w:proofErr w:type="spellStart"/>
      <w:r w:rsidR="00C535FF">
        <w:rPr>
          <w:rFonts w:asciiTheme="minorHAnsi" w:hAnsiTheme="minorHAnsi"/>
          <w:sz w:val="22"/>
          <w:lang w:val="sk-SK"/>
        </w:rPr>
        <w:t>Public</w:t>
      </w:r>
      <w:proofErr w:type="spellEnd"/>
      <w:r w:rsidR="00C535FF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="00C535FF">
        <w:rPr>
          <w:rFonts w:asciiTheme="minorHAnsi" w:hAnsiTheme="minorHAnsi"/>
          <w:sz w:val="22"/>
          <w:lang w:val="sk-SK"/>
        </w:rPr>
        <w:t>Private</w:t>
      </w:r>
      <w:proofErr w:type="spellEnd"/>
      <w:r w:rsidR="004A0B6D" w:rsidRPr="00C72B72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="00C535FF">
        <w:rPr>
          <w:rFonts w:asciiTheme="minorHAnsi" w:hAnsiTheme="minorHAnsi"/>
          <w:sz w:val="22"/>
          <w:lang w:val="sk-SK"/>
        </w:rPr>
        <w:t>Partnership</w:t>
      </w:r>
      <w:proofErr w:type="spellEnd"/>
      <w:r w:rsidR="00C535FF">
        <w:rPr>
          <w:rFonts w:asciiTheme="minorHAnsi" w:hAnsiTheme="minorHAnsi"/>
          <w:sz w:val="22"/>
          <w:lang w:val="sk-SK"/>
        </w:rPr>
        <w:t xml:space="preserve">) </w:t>
      </w:r>
      <w:r w:rsidR="004A0B6D" w:rsidRPr="00C72B72">
        <w:rPr>
          <w:rFonts w:asciiTheme="minorHAnsi" w:hAnsiTheme="minorHAnsi"/>
          <w:sz w:val="22"/>
          <w:lang w:val="sk-SK"/>
        </w:rPr>
        <w:t xml:space="preserve">sa na financovanie nevyužíva, keďže to nie je zvyčajná prax a ani </w:t>
      </w:r>
      <w:r w:rsidR="00650515" w:rsidRPr="00C72B72">
        <w:rPr>
          <w:rFonts w:asciiTheme="minorHAnsi" w:hAnsiTheme="minorHAnsi"/>
          <w:sz w:val="22"/>
          <w:lang w:val="sk-SK"/>
        </w:rPr>
        <w:t>neboli vytv</w:t>
      </w:r>
      <w:r w:rsidR="00650515">
        <w:rPr>
          <w:rFonts w:asciiTheme="minorHAnsi" w:hAnsiTheme="minorHAnsi"/>
          <w:sz w:val="22"/>
          <w:lang w:val="sk-SK"/>
        </w:rPr>
        <w:t xml:space="preserve">orené všeobecné </w:t>
      </w:r>
      <w:r w:rsidR="004A0B6D" w:rsidRPr="00C72B72">
        <w:rPr>
          <w:rFonts w:asciiTheme="minorHAnsi" w:hAnsiTheme="minorHAnsi"/>
          <w:sz w:val="22"/>
          <w:lang w:val="sk-SK"/>
        </w:rPr>
        <w:t>pravidlá/</w:t>
      </w:r>
      <w:r w:rsidR="00C72B72" w:rsidRPr="00C72B72">
        <w:rPr>
          <w:rFonts w:asciiTheme="minorHAnsi" w:hAnsiTheme="minorHAnsi"/>
          <w:sz w:val="22"/>
          <w:lang w:val="sk-SK"/>
        </w:rPr>
        <w:t>usmernenie</w:t>
      </w:r>
      <w:r w:rsidR="003040A5">
        <w:rPr>
          <w:rFonts w:asciiTheme="minorHAnsi" w:hAnsiTheme="minorHAnsi"/>
          <w:sz w:val="22"/>
          <w:lang w:val="sk-SK"/>
        </w:rPr>
        <w:t xml:space="preserve"> pre </w:t>
      </w:r>
      <w:r w:rsidR="00C535FF">
        <w:rPr>
          <w:rFonts w:asciiTheme="minorHAnsi" w:hAnsiTheme="minorHAnsi"/>
          <w:sz w:val="22"/>
          <w:lang w:val="sk-SK"/>
        </w:rPr>
        <w:t>ich</w:t>
      </w:r>
      <w:r w:rsidR="003040A5">
        <w:rPr>
          <w:rFonts w:asciiTheme="minorHAnsi" w:hAnsiTheme="minorHAnsi"/>
          <w:sz w:val="22"/>
          <w:lang w:val="sk-SK"/>
        </w:rPr>
        <w:t xml:space="preserve"> využitie.</w:t>
      </w:r>
      <w:r w:rsidR="004A0B6D" w:rsidRPr="00C72B72">
        <w:rPr>
          <w:rFonts w:asciiTheme="minorHAnsi" w:hAnsiTheme="minorHAnsi"/>
          <w:sz w:val="22"/>
          <w:lang w:val="sk-SK"/>
        </w:rPr>
        <w:t xml:space="preserve"> </w:t>
      </w:r>
    </w:p>
    <w:p w:rsidR="00C51155" w:rsidRPr="00C72B72" w:rsidRDefault="00C51155">
      <w:pPr>
        <w:rPr>
          <w:rFonts w:asciiTheme="minorHAnsi" w:hAnsiTheme="minorHAnsi"/>
          <w:sz w:val="22"/>
          <w:lang w:val="sk-SK"/>
        </w:rPr>
      </w:pPr>
    </w:p>
    <w:p w:rsidR="004A0B6D" w:rsidRPr="00C72B72" w:rsidRDefault="004A0B6D">
      <w:pPr>
        <w:rPr>
          <w:rFonts w:asciiTheme="minorHAnsi" w:hAnsiTheme="minorHAnsi"/>
          <w:sz w:val="22"/>
          <w:lang w:val="sk-SK"/>
        </w:rPr>
      </w:pPr>
      <w:r w:rsidRPr="00C72B72">
        <w:rPr>
          <w:rFonts w:asciiTheme="minorHAnsi" w:hAnsiTheme="minorHAnsi"/>
          <w:sz w:val="22"/>
          <w:lang w:val="sk-SK"/>
        </w:rPr>
        <w:t>Niekoľkí respondent</w:t>
      </w:r>
      <w:r w:rsidR="00C535FF">
        <w:rPr>
          <w:rFonts w:asciiTheme="minorHAnsi" w:hAnsiTheme="minorHAnsi"/>
          <w:sz w:val="22"/>
          <w:lang w:val="sk-SK"/>
        </w:rPr>
        <w:t>i</w:t>
      </w:r>
      <w:r w:rsidRPr="00C72B72">
        <w:rPr>
          <w:rFonts w:asciiTheme="minorHAnsi" w:hAnsiTheme="minorHAnsi"/>
          <w:sz w:val="22"/>
          <w:lang w:val="sk-SK"/>
        </w:rPr>
        <w:t xml:space="preserve"> spomenuli nedostatočné financovanie a absenciu </w:t>
      </w:r>
      <w:r w:rsidR="00C72B72" w:rsidRPr="00C72B72">
        <w:rPr>
          <w:rFonts w:asciiTheme="minorHAnsi" w:hAnsiTheme="minorHAnsi"/>
          <w:sz w:val="22"/>
          <w:lang w:val="sk-SK"/>
        </w:rPr>
        <w:t>systému</w:t>
      </w:r>
      <w:r w:rsidRPr="00C72B72">
        <w:rPr>
          <w:rFonts w:asciiTheme="minorHAnsi" w:hAnsiTheme="minorHAnsi"/>
          <w:sz w:val="22"/>
          <w:lang w:val="sk-SK"/>
        </w:rPr>
        <w:t xml:space="preserve"> financovania. Jeden respondent (</w:t>
      </w:r>
      <w:r w:rsidR="00C72B72" w:rsidRPr="00C72B72">
        <w:rPr>
          <w:rFonts w:asciiTheme="minorHAnsi" w:hAnsiTheme="minorHAnsi"/>
          <w:sz w:val="22"/>
          <w:lang w:val="sk-SK"/>
        </w:rPr>
        <w:t>národná</w:t>
      </w:r>
      <w:r w:rsidRPr="00C72B72">
        <w:rPr>
          <w:rFonts w:asciiTheme="minorHAnsi" w:hAnsiTheme="minorHAnsi"/>
          <w:sz w:val="22"/>
          <w:lang w:val="sk-SK"/>
        </w:rPr>
        <w:t xml:space="preserve"> úroveň) odporučil, že keďže formálne vzdelávanie je na Slovensku bezplatné, aj vzdelávanie dospelých by malo by</w:t>
      </w:r>
      <w:r w:rsidR="005D1972" w:rsidRPr="00C72B72">
        <w:rPr>
          <w:rFonts w:asciiTheme="minorHAnsi" w:hAnsiTheme="minorHAnsi"/>
          <w:sz w:val="22"/>
          <w:lang w:val="sk-SK"/>
        </w:rPr>
        <w:t>ť</w:t>
      </w:r>
      <w:r w:rsidRPr="00C72B72">
        <w:rPr>
          <w:rFonts w:asciiTheme="minorHAnsi" w:hAnsiTheme="minorHAnsi"/>
          <w:sz w:val="22"/>
          <w:lang w:val="sk-SK"/>
        </w:rPr>
        <w:t xml:space="preserve"> zdarma. Iný respondent spomínal </w:t>
      </w:r>
      <w:r w:rsidR="00C535FF">
        <w:rPr>
          <w:rFonts w:asciiTheme="minorHAnsi" w:hAnsiTheme="minorHAnsi"/>
          <w:sz w:val="22"/>
          <w:lang w:val="sk-SK"/>
        </w:rPr>
        <w:t xml:space="preserve">prebiehajúcu </w:t>
      </w:r>
      <w:r w:rsidRPr="00C72B72">
        <w:rPr>
          <w:rFonts w:asciiTheme="minorHAnsi" w:hAnsiTheme="minorHAnsi"/>
          <w:sz w:val="22"/>
          <w:lang w:val="sk-SK"/>
        </w:rPr>
        <w:t>diskusiu</w:t>
      </w:r>
      <w:r w:rsidR="005D1972" w:rsidRPr="00C72B72">
        <w:rPr>
          <w:rFonts w:asciiTheme="minorHAnsi" w:hAnsiTheme="minorHAnsi"/>
          <w:sz w:val="22"/>
          <w:lang w:val="sk-SK"/>
        </w:rPr>
        <w:t xml:space="preserve"> o zavedení pravidiel v Zákonníku práce, ktoré budú od zamestnávateľa vyžadovať poskytovanie vzdelávania zamestnancom  (napr. stanovenie určitého počtu dní</w:t>
      </w:r>
      <w:r w:rsidR="00C535FF">
        <w:rPr>
          <w:rFonts w:asciiTheme="minorHAnsi" w:hAnsiTheme="minorHAnsi"/>
          <w:sz w:val="22"/>
          <w:lang w:val="sk-SK"/>
        </w:rPr>
        <w:t>,</w:t>
      </w:r>
      <w:r w:rsidR="005D1972" w:rsidRPr="00C72B72">
        <w:rPr>
          <w:rFonts w:asciiTheme="minorHAnsi" w:hAnsiTheme="minorHAnsi"/>
          <w:sz w:val="22"/>
          <w:lang w:val="sk-SK"/>
        </w:rPr>
        <w:t xml:space="preserve"> ktoré budú určené na tréning) a</w:t>
      </w:r>
      <w:r w:rsidR="00650515">
        <w:rPr>
          <w:rFonts w:asciiTheme="minorHAnsi" w:hAnsiTheme="minorHAnsi"/>
          <w:sz w:val="22"/>
          <w:lang w:val="sk-SK"/>
        </w:rPr>
        <w:t xml:space="preserve"> tiež ich </w:t>
      </w:r>
      <w:r w:rsidR="005D1972" w:rsidRPr="00C72B72">
        <w:rPr>
          <w:rFonts w:asciiTheme="minorHAnsi" w:hAnsiTheme="minorHAnsi"/>
          <w:sz w:val="22"/>
          <w:lang w:val="sk-SK"/>
        </w:rPr>
        <w:t xml:space="preserve">nabádať </w:t>
      </w:r>
      <w:bookmarkStart w:id="4" w:name="_GoBack"/>
      <w:bookmarkEnd w:id="4"/>
      <w:r w:rsidR="005D1972" w:rsidRPr="00C72B72">
        <w:rPr>
          <w:rFonts w:asciiTheme="minorHAnsi" w:hAnsiTheme="minorHAnsi"/>
          <w:sz w:val="22"/>
          <w:lang w:val="sk-SK"/>
        </w:rPr>
        <w:t>robiť kurzy VD. Financovanie by sa m</w:t>
      </w:r>
      <w:r w:rsidR="00C535FF">
        <w:rPr>
          <w:rFonts w:asciiTheme="minorHAnsi" w:hAnsiTheme="minorHAnsi"/>
          <w:sz w:val="22"/>
          <w:lang w:val="sk-SK"/>
        </w:rPr>
        <w:t xml:space="preserve">ohlo </w:t>
      </w:r>
      <w:r w:rsidR="005D1972" w:rsidRPr="00C72B72">
        <w:rPr>
          <w:rFonts w:asciiTheme="minorHAnsi" w:hAnsiTheme="minorHAnsi"/>
          <w:sz w:val="22"/>
          <w:lang w:val="sk-SK"/>
        </w:rPr>
        <w:t xml:space="preserve">realizovať </w:t>
      </w:r>
      <w:r w:rsidR="00C535FF">
        <w:rPr>
          <w:rFonts w:asciiTheme="minorHAnsi" w:hAnsiTheme="minorHAnsi"/>
          <w:sz w:val="22"/>
          <w:lang w:val="sk-SK"/>
        </w:rPr>
        <w:t xml:space="preserve">aj </w:t>
      </w:r>
      <w:r w:rsidR="005D1972" w:rsidRPr="00C72B72">
        <w:rPr>
          <w:rFonts w:asciiTheme="minorHAnsi" w:hAnsiTheme="minorHAnsi"/>
          <w:sz w:val="22"/>
          <w:lang w:val="sk-SK"/>
        </w:rPr>
        <w:t xml:space="preserve">cez </w:t>
      </w:r>
      <w:r w:rsidR="00C535FF">
        <w:rPr>
          <w:rFonts w:asciiTheme="minorHAnsi" w:hAnsiTheme="minorHAnsi"/>
          <w:sz w:val="22"/>
          <w:lang w:val="sk-SK"/>
        </w:rPr>
        <w:t>sociálny fond, ktorý vytvárajú zamestnávatelia.</w:t>
      </w:r>
      <w:r w:rsidR="005D1972" w:rsidRPr="00C72B72">
        <w:rPr>
          <w:rFonts w:asciiTheme="minorHAnsi" w:hAnsiTheme="minorHAnsi"/>
          <w:sz w:val="22"/>
          <w:lang w:val="sk-SK"/>
        </w:rPr>
        <w:t xml:space="preserve">  </w:t>
      </w:r>
    </w:p>
    <w:p w:rsidR="00C51155" w:rsidRPr="00C72B72" w:rsidRDefault="00C51155">
      <w:pPr>
        <w:rPr>
          <w:lang w:val="sk-SK"/>
        </w:rPr>
      </w:pPr>
    </w:p>
    <w:p w:rsidR="00C51155" w:rsidRPr="00C72B72" w:rsidRDefault="00C51155" w:rsidP="00D31F73">
      <w:pPr>
        <w:pStyle w:val="Nadpis2"/>
        <w:rPr>
          <w:lang w:val="sk-SK"/>
        </w:rPr>
      </w:pPr>
    </w:p>
    <w:p w:rsidR="00EC6933" w:rsidRPr="00C72B72" w:rsidRDefault="00EC6933">
      <w:pPr>
        <w:rPr>
          <w:rFonts w:asciiTheme="minorHAnsi" w:eastAsiaTheme="majorEastAsia" w:hAnsiTheme="minorHAnsi" w:cstheme="majorBidi"/>
          <w:b/>
          <w:bCs/>
          <w:iCs/>
          <w:color w:val="1F497D" w:themeColor="text2"/>
          <w:sz w:val="22"/>
          <w:szCs w:val="22"/>
          <w:lang w:val="sk-SK"/>
        </w:rPr>
      </w:pPr>
      <w:r w:rsidRPr="00C72B72">
        <w:rPr>
          <w:lang w:val="sk-SK"/>
        </w:rPr>
        <w:br w:type="page"/>
      </w:r>
    </w:p>
    <w:p w:rsidR="00D31F73" w:rsidRPr="00C72B72" w:rsidRDefault="00D31F73" w:rsidP="00D31F73">
      <w:pPr>
        <w:pStyle w:val="Nadpis2"/>
        <w:rPr>
          <w:lang w:val="sk-SK"/>
        </w:rPr>
      </w:pPr>
      <w:bookmarkStart w:id="5" w:name="_Toc421866798"/>
      <w:r w:rsidRPr="00C72B72">
        <w:rPr>
          <w:lang w:val="sk-SK"/>
        </w:rPr>
        <w:lastRenderedPageBreak/>
        <w:t>K</w:t>
      </w:r>
      <w:r w:rsidR="005D1972" w:rsidRPr="00C72B72">
        <w:rPr>
          <w:lang w:val="sk-SK"/>
        </w:rPr>
        <w:t>ľúčové zistenia</w:t>
      </w:r>
      <w:bookmarkEnd w:id="5"/>
    </w:p>
    <w:p w:rsidR="00D31F73" w:rsidRPr="00C72B72" w:rsidRDefault="00D31F73">
      <w:pPr>
        <w:rPr>
          <w:rFonts w:asciiTheme="minorHAnsi" w:hAnsiTheme="minorHAnsi"/>
          <w:sz w:val="22"/>
          <w:lang w:val="sk-SK"/>
        </w:rPr>
      </w:pPr>
    </w:p>
    <w:p w:rsidR="00706764" w:rsidRPr="00C72B72" w:rsidRDefault="00706764" w:rsidP="00706764">
      <w:pPr>
        <w:rPr>
          <w:rFonts w:asciiTheme="minorHAnsi" w:hAnsiTheme="minorHAnsi"/>
          <w:sz w:val="22"/>
          <w:lang w:val="sk-SK"/>
        </w:rPr>
      </w:pPr>
      <w:r w:rsidRPr="00C72B72">
        <w:rPr>
          <w:rFonts w:asciiTheme="minorHAnsi" w:hAnsiTheme="minorHAnsi"/>
          <w:sz w:val="22"/>
          <w:lang w:val="sk-SK"/>
        </w:rPr>
        <w:t xml:space="preserve">Existuje Stratégia celoživotného vzdelávania (vytvorená 2007, aktualizovaná 2011) s Akčným plánom pochádzajúcim z roku 2011. Napriek tomu sa nevyužíva ako nástroj implementácie aktivít a zdá sa, že sa v súčasnosti nerobí ani monitoring vývoja v tejto oblasti. Prebieha niekoľko celonárodných projektov financovaných z ESF, ktoré sú zamerané na podporu VD. </w:t>
      </w:r>
    </w:p>
    <w:p w:rsidR="00706764" w:rsidRPr="00C72B72" w:rsidRDefault="00706764" w:rsidP="00706764">
      <w:pPr>
        <w:rPr>
          <w:rFonts w:asciiTheme="minorHAnsi" w:hAnsiTheme="minorHAnsi"/>
          <w:sz w:val="22"/>
          <w:lang w:val="sk-SK"/>
        </w:rPr>
      </w:pPr>
    </w:p>
    <w:p w:rsidR="00706764" w:rsidRPr="00C72B72" w:rsidRDefault="00706764" w:rsidP="00706764">
      <w:pPr>
        <w:rPr>
          <w:rFonts w:asciiTheme="minorHAnsi" w:hAnsiTheme="minorHAnsi"/>
          <w:sz w:val="22"/>
          <w:lang w:val="sk-SK"/>
        </w:rPr>
      </w:pPr>
      <w:r w:rsidRPr="00C72B72">
        <w:rPr>
          <w:rFonts w:asciiTheme="minorHAnsi" w:hAnsiTheme="minorHAnsi"/>
          <w:sz w:val="22"/>
          <w:lang w:val="sk-SK"/>
        </w:rPr>
        <w:t>Na regionálnej úrovni – je prirodzene niekoľko tréningových inštitúcií , ktoré poskytujú neformálne vzdelávacie aktivity, ale neexistuje ich monitorovanie. Tiež by sa zišiel aktívnejší prístup zo strany zamestnávateľov – aby spresnili</w:t>
      </w:r>
      <w:r>
        <w:rPr>
          <w:rFonts w:asciiTheme="minorHAnsi" w:hAnsiTheme="minorHAnsi"/>
          <w:sz w:val="22"/>
          <w:lang w:val="sk-SK"/>
        </w:rPr>
        <w:t>,</w:t>
      </w:r>
      <w:r w:rsidRPr="00C72B72">
        <w:rPr>
          <w:rFonts w:asciiTheme="minorHAnsi" w:hAnsiTheme="minorHAnsi"/>
          <w:sz w:val="22"/>
          <w:lang w:val="sk-SK"/>
        </w:rPr>
        <w:t xml:space="preserve"> aký druh kvalifikácií potrebujú a aké zručnosti by mala pracovná sila ovládať. </w:t>
      </w:r>
    </w:p>
    <w:p w:rsidR="00DA51DC" w:rsidRPr="00C72B72" w:rsidRDefault="00DA51DC">
      <w:pPr>
        <w:rPr>
          <w:rFonts w:asciiTheme="minorHAnsi" w:hAnsiTheme="minorHAnsi"/>
          <w:sz w:val="22"/>
          <w:lang w:val="sk-SK"/>
        </w:rPr>
      </w:pPr>
    </w:p>
    <w:p w:rsidR="00290AE6" w:rsidRPr="00C72B72" w:rsidRDefault="007A5930">
      <w:pPr>
        <w:rPr>
          <w:rFonts w:asciiTheme="minorHAnsi" w:hAnsiTheme="minorHAnsi"/>
          <w:sz w:val="22"/>
          <w:lang w:val="sk-SK"/>
        </w:rPr>
      </w:pPr>
      <w:r w:rsidRPr="00C72B72">
        <w:rPr>
          <w:rFonts w:asciiTheme="minorHAnsi" w:hAnsiTheme="minorHAnsi"/>
          <w:sz w:val="22"/>
          <w:lang w:val="sk-SK"/>
        </w:rPr>
        <w:t xml:space="preserve"> Na národnej úrovni neexistuje </w:t>
      </w:r>
      <w:r w:rsidR="00C72B72" w:rsidRPr="00C72B72">
        <w:rPr>
          <w:rFonts w:asciiTheme="minorHAnsi" w:hAnsiTheme="minorHAnsi"/>
          <w:sz w:val="22"/>
          <w:lang w:val="sk-SK"/>
        </w:rPr>
        <w:t>systematický</w:t>
      </w:r>
      <w:r w:rsidRPr="00C72B72">
        <w:rPr>
          <w:rFonts w:asciiTheme="minorHAnsi" w:hAnsiTheme="minorHAnsi"/>
          <w:sz w:val="22"/>
          <w:lang w:val="sk-SK"/>
        </w:rPr>
        <w:t xml:space="preserve"> prístup k VD. Chýba validácia/potvrdenie kvality </w:t>
      </w:r>
      <w:r w:rsidR="003F17A0" w:rsidRPr="00C72B72">
        <w:rPr>
          <w:rFonts w:asciiTheme="minorHAnsi" w:hAnsiTheme="minorHAnsi"/>
          <w:sz w:val="22"/>
          <w:lang w:val="sk-SK"/>
        </w:rPr>
        <w:t xml:space="preserve">tréningov </w:t>
      </w:r>
      <w:r w:rsidRPr="00C72B72">
        <w:rPr>
          <w:rFonts w:asciiTheme="minorHAnsi" w:hAnsiTheme="minorHAnsi"/>
          <w:sz w:val="22"/>
          <w:lang w:val="sk-SK"/>
        </w:rPr>
        <w:t>a</w:t>
      </w:r>
      <w:r w:rsidR="003F17A0">
        <w:rPr>
          <w:rFonts w:asciiTheme="minorHAnsi" w:hAnsiTheme="minorHAnsi"/>
          <w:sz w:val="22"/>
          <w:lang w:val="sk-SK"/>
        </w:rPr>
        <w:t xml:space="preserve"> ich </w:t>
      </w:r>
      <w:r w:rsidR="00C72B72" w:rsidRPr="00C72B72">
        <w:rPr>
          <w:rFonts w:asciiTheme="minorHAnsi" w:hAnsiTheme="minorHAnsi"/>
          <w:sz w:val="22"/>
          <w:lang w:val="sk-SK"/>
        </w:rPr>
        <w:t>finančný</w:t>
      </w:r>
      <w:r w:rsidRPr="00C72B72">
        <w:rPr>
          <w:rFonts w:asciiTheme="minorHAnsi" w:hAnsiTheme="minorHAnsi"/>
          <w:sz w:val="22"/>
          <w:lang w:val="sk-SK"/>
        </w:rPr>
        <w:t xml:space="preserve"> mechanizmus . Ma</w:t>
      </w:r>
      <w:r w:rsidR="003F17A0">
        <w:rPr>
          <w:rFonts w:asciiTheme="minorHAnsi" w:hAnsiTheme="minorHAnsi"/>
          <w:sz w:val="22"/>
          <w:lang w:val="sk-SK"/>
        </w:rPr>
        <w:t>l</w:t>
      </w:r>
      <w:r w:rsidRPr="00C72B72">
        <w:rPr>
          <w:rFonts w:asciiTheme="minorHAnsi" w:hAnsiTheme="minorHAnsi"/>
          <w:sz w:val="22"/>
          <w:lang w:val="sk-SK"/>
        </w:rPr>
        <w:t xml:space="preserve"> by existovať jasný </w:t>
      </w:r>
      <w:r w:rsidR="00C72B72" w:rsidRPr="00C72B72">
        <w:rPr>
          <w:rFonts w:asciiTheme="minorHAnsi" w:hAnsiTheme="minorHAnsi"/>
          <w:sz w:val="22"/>
          <w:lang w:val="sk-SK"/>
        </w:rPr>
        <w:t>systém</w:t>
      </w:r>
      <w:r w:rsidRPr="00C72B72">
        <w:rPr>
          <w:rFonts w:asciiTheme="minorHAnsi" w:hAnsiTheme="minorHAnsi"/>
          <w:sz w:val="22"/>
          <w:lang w:val="sk-SK"/>
        </w:rPr>
        <w:t xml:space="preserve"> </w:t>
      </w:r>
      <w:r w:rsidR="003F17A0">
        <w:rPr>
          <w:rFonts w:asciiTheme="minorHAnsi" w:hAnsiTheme="minorHAnsi"/>
          <w:sz w:val="22"/>
          <w:lang w:val="sk-SK"/>
        </w:rPr>
        <w:t>vytvárania</w:t>
      </w:r>
      <w:r w:rsidRPr="00C72B72">
        <w:rPr>
          <w:rFonts w:asciiTheme="minorHAnsi" w:hAnsiTheme="minorHAnsi"/>
          <w:sz w:val="22"/>
          <w:lang w:val="sk-SK"/>
        </w:rPr>
        <w:t xml:space="preserve"> a realizácie kurzov </w:t>
      </w:r>
      <w:r w:rsidR="00C72B72" w:rsidRPr="00C72B72">
        <w:rPr>
          <w:rFonts w:asciiTheme="minorHAnsi" w:hAnsiTheme="minorHAnsi"/>
          <w:sz w:val="22"/>
          <w:lang w:val="sk-SK"/>
        </w:rPr>
        <w:t>v rámci</w:t>
      </w:r>
      <w:r w:rsidRPr="00C72B72">
        <w:rPr>
          <w:rFonts w:asciiTheme="minorHAnsi" w:hAnsiTheme="minorHAnsi"/>
          <w:sz w:val="22"/>
          <w:lang w:val="sk-SK"/>
        </w:rPr>
        <w:t xml:space="preserve"> ďalšieho odborného vzdelávania, v zmysle ich obsahu, </w:t>
      </w:r>
      <w:r w:rsidR="00C72B72" w:rsidRPr="00C72B72">
        <w:rPr>
          <w:rFonts w:asciiTheme="minorHAnsi" w:hAnsiTheme="minorHAnsi"/>
          <w:sz w:val="22"/>
          <w:lang w:val="sk-SK"/>
        </w:rPr>
        <w:t>ukončenia</w:t>
      </w:r>
      <w:r w:rsidRPr="00C72B72">
        <w:rPr>
          <w:rFonts w:asciiTheme="minorHAnsi" w:hAnsiTheme="minorHAnsi"/>
          <w:sz w:val="22"/>
          <w:lang w:val="sk-SK"/>
        </w:rPr>
        <w:t xml:space="preserve">, financovania, monitorovania kvality, akreditácie. Takýto </w:t>
      </w:r>
      <w:r w:rsidR="00C72B72" w:rsidRPr="00C72B72">
        <w:rPr>
          <w:rFonts w:asciiTheme="minorHAnsi" w:hAnsiTheme="minorHAnsi"/>
          <w:sz w:val="22"/>
          <w:lang w:val="sk-SK"/>
        </w:rPr>
        <w:t>systém</w:t>
      </w:r>
      <w:r w:rsidRPr="00C72B72">
        <w:rPr>
          <w:rFonts w:asciiTheme="minorHAnsi" w:hAnsiTheme="minorHAnsi"/>
          <w:sz w:val="22"/>
          <w:lang w:val="sk-SK"/>
        </w:rPr>
        <w:t xml:space="preserve"> </w:t>
      </w:r>
      <w:r w:rsidR="00C72B72" w:rsidRPr="00C72B72">
        <w:rPr>
          <w:rFonts w:asciiTheme="minorHAnsi" w:hAnsiTheme="minorHAnsi"/>
          <w:sz w:val="22"/>
          <w:lang w:val="sk-SK"/>
        </w:rPr>
        <w:t>musí</w:t>
      </w:r>
      <w:r w:rsidRPr="00C72B72">
        <w:rPr>
          <w:rFonts w:asciiTheme="minorHAnsi" w:hAnsiTheme="minorHAnsi"/>
          <w:sz w:val="22"/>
          <w:lang w:val="sk-SK"/>
        </w:rPr>
        <w:t xml:space="preserve"> byť doplnený súborom registrov/databáz (</w:t>
      </w:r>
      <w:r w:rsidR="00290AE6" w:rsidRPr="00C72B72">
        <w:rPr>
          <w:rFonts w:asciiTheme="minorHAnsi" w:hAnsiTheme="minorHAnsi"/>
          <w:sz w:val="22"/>
          <w:lang w:val="sk-SK"/>
        </w:rPr>
        <w:t>kvalit</w:t>
      </w:r>
      <w:r w:rsidR="00600916">
        <w:rPr>
          <w:rFonts w:asciiTheme="minorHAnsi" w:hAnsiTheme="minorHAnsi"/>
          <w:sz w:val="22"/>
          <w:lang w:val="sk-SK"/>
        </w:rPr>
        <w:t>ných/</w:t>
      </w:r>
      <w:r w:rsidR="00290AE6" w:rsidRPr="00C72B72">
        <w:rPr>
          <w:rFonts w:asciiTheme="minorHAnsi" w:hAnsiTheme="minorHAnsi"/>
          <w:sz w:val="22"/>
          <w:lang w:val="sk-SK"/>
        </w:rPr>
        <w:t xml:space="preserve">certifikovaných </w:t>
      </w:r>
      <w:r w:rsidR="00C72B72" w:rsidRPr="00C72B72">
        <w:rPr>
          <w:rFonts w:asciiTheme="minorHAnsi" w:hAnsiTheme="minorHAnsi"/>
          <w:sz w:val="22"/>
          <w:lang w:val="sk-SK"/>
        </w:rPr>
        <w:t>inštitúcií</w:t>
      </w:r>
      <w:r w:rsidR="00290AE6" w:rsidRPr="00C72B72">
        <w:rPr>
          <w:rFonts w:asciiTheme="minorHAnsi" w:hAnsiTheme="minorHAnsi"/>
          <w:sz w:val="22"/>
          <w:lang w:val="sk-SK"/>
        </w:rPr>
        <w:t xml:space="preserve"> z hľadiska tréningových programov a kvalifikácií/profesií požadovaných zamestnávateľmi).</w:t>
      </w:r>
    </w:p>
    <w:p w:rsidR="00EA4EBD" w:rsidRDefault="00EA4EBD">
      <w:pPr>
        <w:rPr>
          <w:rFonts w:asciiTheme="minorHAnsi" w:hAnsiTheme="minorHAnsi"/>
          <w:sz w:val="22"/>
          <w:lang w:val="sk-SK"/>
        </w:rPr>
      </w:pPr>
    </w:p>
    <w:p w:rsidR="00600916" w:rsidRPr="00600916" w:rsidRDefault="00600916" w:rsidP="00600916">
      <w:pPr>
        <w:jc w:val="both"/>
        <w:rPr>
          <w:rFonts w:asciiTheme="minorHAnsi" w:hAnsiTheme="minorHAnsi"/>
          <w:sz w:val="22"/>
          <w:lang w:val="sk-SK"/>
        </w:rPr>
      </w:pPr>
      <w:proofErr w:type="spellStart"/>
      <w:r w:rsidRPr="00600916">
        <w:rPr>
          <w:rFonts w:asciiTheme="minorHAnsi" w:hAnsiTheme="minorHAnsi"/>
          <w:sz w:val="22"/>
          <w:lang w:val="sk-SK"/>
        </w:rPr>
        <w:t>Národný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program </w:t>
      </w:r>
      <w:proofErr w:type="spellStart"/>
      <w:r w:rsidRPr="00600916">
        <w:rPr>
          <w:rFonts w:asciiTheme="minorHAnsi" w:hAnsiTheme="minorHAnsi"/>
          <w:sz w:val="22"/>
          <w:lang w:val="sk-SK"/>
        </w:rPr>
        <w:t>reforiem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Pr="00600916">
        <w:rPr>
          <w:rFonts w:asciiTheme="minorHAnsi" w:hAnsiTheme="minorHAnsi"/>
          <w:sz w:val="22"/>
          <w:lang w:val="sk-SK"/>
        </w:rPr>
        <w:t>sa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v </w:t>
      </w:r>
      <w:proofErr w:type="spellStart"/>
      <w:r w:rsidRPr="00600916">
        <w:rPr>
          <w:rFonts w:asciiTheme="minorHAnsi" w:hAnsiTheme="minorHAnsi"/>
          <w:sz w:val="22"/>
          <w:lang w:val="sk-SK"/>
        </w:rPr>
        <w:t>časti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Vzdelávanie </w:t>
      </w:r>
      <w:proofErr w:type="spellStart"/>
      <w:r w:rsidRPr="00600916">
        <w:rPr>
          <w:rFonts w:asciiTheme="minorHAnsi" w:hAnsiTheme="minorHAnsi"/>
          <w:sz w:val="22"/>
          <w:lang w:val="sk-SK"/>
        </w:rPr>
        <w:t>zaoberá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Pr="00600916">
        <w:rPr>
          <w:rFonts w:asciiTheme="minorHAnsi" w:hAnsiTheme="minorHAnsi"/>
          <w:sz w:val="22"/>
          <w:lang w:val="sk-SK"/>
        </w:rPr>
        <w:t>aj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Pr="00600916">
        <w:rPr>
          <w:rFonts w:asciiTheme="minorHAnsi" w:hAnsiTheme="minorHAnsi"/>
          <w:sz w:val="22"/>
          <w:lang w:val="sk-SK"/>
        </w:rPr>
        <w:t>ďalším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Pr="00600916">
        <w:rPr>
          <w:rFonts w:asciiTheme="minorHAnsi" w:hAnsiTheme="minorHAnsi"/>
          <w:sz w:val="22"/>
          <w:lang w:val="sk-SK"/>
        </w:rPr>
        <w:t>vzdelávaním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. </w:t>
      </w:r>
      <w:proofErr w:type="spellStart"/>
      <w:r w:rsidRPr="00600916">
        <w:rPr>
          <w:rFonts w:asciiTheme="minorHAnsi" w:hAnsiTheme="minorHAnsi"/>
          <w:sz w:val="22"/>
          <w:lang w:val="sk-SK"/>
        </w:rPr>
        <w:t>Zdôrazňuje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Pr="00600916">
        <w:rPr>
          <w:rFonts w:asciiTheme="minorHAnsi" w:hAnsiTheme="minorHAnsi"/>
          <w:sz w:val="22"/>
          <w:lang w:val="sk-SK"/>
        </w:rPr>
        <w:t>potrebu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Pr="00600916">
        <w:rPr>
          <w:rFonts w:asciiTheme="minorHAnsi" w:hAnsiTheme="minorHAnsi"/>
          <w:sz w:val="22"/>
          <w:lang w:val="sk-SK"/>
        </w:rPr>
        <w:t>kvalitných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Pr="00600916">
        <w:rPr>
          <w:rFonts w:asciiTheme="minorHAnsi" w:hAnsiTheme="minorHAnsi"/>
          <w:sz w:val="22"/>
          <w:lang w:val="sk-SK"/>
        </w:rPr>
        <w:t>vzdelávaích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Pr="00600916">
        <w:rPr>
          <w:rFonts w:asciiTheme="minorHAnsi" w:hAnsiTheme="minorHAnsi"/>
          <w:sz w:val="22"/>
          <w:lang w:val="sk-SK"/>
        </w:rPr>
        <w:t>programov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Pr="00600916">
        <w:rPr>
          <w:rFonts w:asciiTheme="minorHAnsi" w:hAnsiTheme="minorHAnsi"/>
          <w:sz w:val="22"/>
          <w:lang w:val="sk-SK"/>
        </w:rPr>
        <w:t>ako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Pr="00600916">
        <w:rPr>
          <w:rFonts w:asciiTheme="minorHAnsi" w:hAnsiTheme="minorHAnsi"/>
          <w:sz w:val="22"/>
          <w:lang w:val="sk-SK"/>
        </w:rPr>
        <w:t>ako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Pr="00600916">
        <w:rPr>
          <w:rFonts w:asciiTheme="minorHAnsi" w:hAnsiTheme="minorHAnsi"/>
          <w:sz w:val="22"/>
          <w:lang w:val="sk-SK"/>
        </w:rPr>
        <w:t>aj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Pr="00600916">
        <w:rPr>
          <w:rFonts w:asciiTheme="minorHAnsi" w:hAnsiTheme="minorHAnsi"/>
          <w:sz w:val="22"/>
          <w:lang w:val="sk-SK"/>
        </w:rPr>
        <w:t>kvalitných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Pr="00600916">
        <w:rPr>
          <w:rFonts w:asciiTheme="minorHAnsi" w:hAnsiTheme="minorHAnsi"/>
          <w:sz w:val="22"/>
          <w:lang w:val="sk-SK"/>
        </w:rPr>
        <w:t>vzdelávacích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 </w:t>
      </w:r>
      <w:proofErr w:type="spellStart"/>
      <w:r w:rsidRPr="00600916">
        <w:rPr>
          <w:rFonts w:asciiTheme="minorHAnsi" w:hAnsiTheme="minorHAnsi"/>
          <w:sz w:val="22"/>
          <w:lang w:val="sk-SK"/>
        </w:rPr>
        <w:t>inštitúcií</w:t>
      </w:r>
      <w:proofErr w:type="spellEnd"/>
      <w:r w:rsidRPr="00600916">
        <w:rPr>
          <w:rFonts w:asciiTheme="minorHAnsi" w:hAnsiTheme="minorHAnsi"/>
          <w:sz w:val="22"/>
          <w:lang w:val="sk-SK"/>
        </w:rPr>
        <w:t xml:space="preserve">. </w:t>
      </w:r>
    </w:p>
    <w:p w:rsidR="00600916" w:rsidRDefault="00600916">
      <w:pPr>
        <w:rPr>
          <w:rFonts w:asciiTheme="minorHAnsi" w:hAnsiTheme="minorHAnsi"/>
          <w:sz w:val="22"/>
          <w:lang w:val="sk-SK"/>
        </w:rPr>
      </w:pPr>
    </w:p>
    <w:p w:rsidR="00EA4EBD" w:rsidRPr="00C72B72" w:rsidRDefault="003F17A0">
      <w:pPr>
        <w:rPr>
          <w:rFonts w:asciiTheme="minorHAnsi" w:hAnsiTheme="minorHAnsi"/>
          <w:sz w:val="22"/>
          <w:lang w:val="sk-SK"/>
        </w:rPr>
      </w:pPr>
      <w:r>
        <w:rPr>
          <w:rFonts w:asciiTheme="minorHAnsi" w:hAnsiTheme="minorHAnsi"/>
          <w:sz w:val="22"/>
          <w:lang w:val="sk-SK"/>
        </w:rPr>
        <w:t>R</w:t>
      </w:r>
      <w:r w:rsidRPr="00C72B72">
        <w:rPr>
          <w:rFonts w:asciiTheme="minorHAnsi" w:hAnsiTheme="minorHAnsi"/>
          <w:sz w:val="22"/>
          <w:lang w:val="sk-SK"/>
        </w:rPr>
        <w:t xml:space="preserve">espondenti uvádzali </w:t>
      </w:r>
      <w:r>
        <w:rPr>
          <w:rFonts w:asciiTheme="minorHAnsi" w:hAnsiTheme="minorHAnsi"/>
          <w:sz w:val="22"/>
          <w:lang w:val="sk-SK"/>
        </w:rPr>
        <w:t>m</w:t>
      </w:r>
      <w:r w:rsidR="00290AE6" w:rsidRPr="00C72B72">
        <w:rPr>
          <w:rFonts w:asciiTheme="minorHAnsi" w:hAnsiTheme="minorHAnsi"/>
          <w:sz w:val="22"/>
          <w:lang w:val="sk-SK"/>
        </w:rPr>
        <w:t xml:space="preserve">edzi </w:t>
      </w:r>
      <w:r w:rsidR="00C72B72" w:rsidRPr="00C72B72">
        <w:rPr>
          <w:rFonts w:asciiTheme="minorHAnsi" w:hAnsiTheme="minorHAnsi"/>
          <w:sz w:val="22"/>
          <w:lang w:val="sk-SK"/>
        </w:rPr>
        <w:t>najdôležitejš</w:t>
      </w:r>
      <w:r>
        <w:rPr>
          <w:rFonts w:asciiTheme="minorHAnsi" w:hAnsiTheme="minorHAnsi"/>
          <w:sz w:val="22"/>
          <w:lang w:val="sk-SK"/>
        </w:rPr>
        <w:t>ími</w:t>
      </w:r>
      <w:r w:rsidR="00290AE6" w:rsidRPr="00C72B72">
        <w:rPr>
          <w:rFonts w:asciiTheme="minorHAnsi" w:hAnsiTheme="minorHAnsi"/>
          <w:sz w:val="22"/>
          <w:lang w:val="sk-SK"/>
        </w:rPr>
        <w:t xml:space="preserve"> </w:t>
      </w:r>
      <w:r w:rsidR="00600916">
        <w:rPr>
          <w:rFonts w:asciiTheme="minorHAnsi" w:hAnsiTheme="minorHAnsi"/>
          <w:sz w:val="22"/>
          <w:lang w:val="sk-SK"/>
        </w:rPr>
        <w:t>hnacími silami pre</w:t>
      </w:r>
      <w:r w:rsidR="00290AE6" w:rsidRPr="00C72B72">
        <w:rPr>
          <w:rFonts w:asciiTheme="minorHAnsi" w:hAnsiTheme="minorHAnsi"/>
          <w:sz w:val="22"/>
          <w:lang w:val="sk-SK"/>
        </w:rPr>
        <w:t xml:space="preserve"> </w:t>
      </w:r>
      <w:r w:rsidR="00C72B72" w:rsidRPr="00C72B72">
        <w:rPr>
          <w:rFonts w:asciiTheme="minorHAnsi" w:hAnsiTheme="minorHAnsi"/>
          <w:sz w:val="22"/>
          <w:lang w:val="sk-SK"/>
        </w:rPr>
        <w:t>formovanie</w:t>
      </w:r>
      <w:r w:rsidR="00290AE6" w:rsidRPr="00C72B72">
        <w:rPr>
          <w:rFonts w:asciiTheme="minorHAnsi" w:hAnsiTheme="minorHAnsi"/>
          <w:sz w:val="22"/>
          <w:lang w:val="sk-SK"/>
        </w:rPr>
        <w:t xml:space="preserve"> tejto politiky, možnosť využívať EÚ zdroj</w:t>
      </w:r>
      <w:r w:rsidR="00A617E7">
        <w:rPr>
          <w:rFonts w:asciiTheme="minorHAnsi" w:hAnsiTheme="minorHAnsi"/>
          <w:sz w:val="22"/>
          <w:lang w:val="sk-SK"/>
        </w:rPr>
        <w:t>e</w:t>
      </w:r>
      <w:r w:rsidR="00290AE6" w:rsidRPr="00C72B72">
        <w:rPr>
          <w:rFonts w:asciiTheme="minorHAnsi" w:hAnsiTheme="minorHAnsi"/>
          <w:sz w:val="22"/>
          <w:lang w:val="sk-SK"/>
        </w:rPr>
        <w:t xml:space="preserve"> a úsilie znižovať </w:t>
      </w:r>
      <w:r w:rsidR="00C72B72" w:rsidRPr="00C72B72">
        <w:rPr>
          <w:rFonts w:asciiTheme="minorHAnsi" w:hAnsiTheme="minorHAnsi"/>
          <w:sz w:val="22"/>
          <w:lang w:val="sk-SK"/>
        </w:rPr>
        <w:t>nezamestnanosť</w:t>
      </w:r>
      <w:r w:rsidR="00290AE6" w:rsidRPr="00C72B72">
        <w:rPr>
          <w:rFonts w:asciiTheme="minorHAnsi" w:hAnsiTheme="minorHAnsi"/>
          <w:sz w:val="22"/>
          <w:lang w:val="sk-SK"/>
        </w:rPr>
        <w:t xml:space="preserve">. </w:t>
      </w:r>
    </w:p>
    <w:p w:rsidR="00B45A13" w:rsidRPr="00C72B72" w:rsidRDefault="00B45A13">
      <w:pPr>
        <w:rPr>
          <w:rFonts w:asciiTheme="minorHAnsi" w:hAnsiTheme="minorHAnsi"/>
          <w:sz w:val="22"/>
          <w:lang w:val="sk-SK"/>
        </w:rPr>
      </w:pPr>
    </w:p>
    <w:p w:rsidR="00B45A13" w:rsidRDefault="00290AE6">
      <w:pPr>
        <w:rPr>
          <w:rFonts w:asciiTheme="minorHAnsi" w:hAnsiTheme="minorHAnsi"/>
          <w:sz w:val="22"/>
          <w:lang w:val="sk-SK"/>
        </w:rPr>
      </w:pPr>
      <w:r w:rsidRPr="00C72B72">
        <w:rPr>
          <w:rFonts w:asciiTheme="minorHAnsi" w:hAnsiTheme="minorHAnsi"/>
          <w:sz w:val="22"/>
          <w:lang w:val="sk-SK"/>
        </w:rPr>
        <w:t xml:space="preserve">Čo by mohlo pomôcť tvorcom politiky </w:t>
      </w:r>
      <w:r w:rsidR="00C72B72" w:rsidRPr="00C72B72">
        <w:rPr>
          <w:rFonts w:asciiTheme="minorHAnsi" w:hAnsiTheme="minorHAnsi"/>
          <w:sz w:val="22"/>
          <w:lang w:val="sk-SK"/>
        </w:rPr>
        <w:t>sú</w:t>
      </w:r>
      <w:r w:rsidRPr="00C72B72">
        <w:rPr>
          <w:rFonts w:asciiTheme="minorHAnsi" w:hAnsiTheme="minorHAnsi"/>
          <w:sz w:val="22"/>
          <w:lang w:val="sk-SK"/>
        </w:rPr>
        <w:t xml:space="preserve"> dobré </w:t>
      </w:r>
      <w:r w:rsidR="00C72B72" w:rsidRPr="00C72B72">
        <w:rPr>
          <w:rFonts w:asciiTheme="minorHAnsi" w:hAnsiTheme="minorHAnsi"/>
          <w:sz w:val="22"/>
          <w:lang w:val="sk-SK"/>
        </w:rPr>
        <w:t>skúsenosti</w:t>
      </w:r>
      <w:r w:rsidRPr="00C72B72">
        <w:rPr>
          <w:rFonts w:asciiTheme="minorHAnsi" w:hAnsiTheme="minorHAnsi"/>
          <w:sz w:val="22"/>
          <w:lang w:val="sk-SK"/>
        </w:rPr>
        <w:t xml:space="preserve"> (best practices), príklady z iných krajín a spolupráca (najmä</w:t>
      </w:r>
      <w:r w:rsidR="009F586C" w:rsidRPr="00C72B72">
        <w:rPr>
          <w:rFonts w:asciiTheme="minorHAnsi" w:hAnsiTheme="minorHAnsi"/>
          <w:sz w:val="22"/>
          <w:lang w:val="sk-SK"/>
        </w:rPr>
        <w:t xml:space="preserve"> medzi zamestnávateľmi a školami v zmysle stanovenia potrieb a reflektovanie týchto požiadaviek) .Tiež </w:t>
      </w:r>
      <w:r w:rsidR="003F17A0">
        <w:rPr>
          <w:rFonts w:asciiTheme="minorHAnsi" w:hAnsiTheme="minorHAnsi"/>
          <w:sz w:val="22"/>
          <w:lang w:val="sk-SK"/>
        </w:rPr>
        <w:t xml:space="preserve">by pomohol </w:t>
      </w:r>
      <w:r w:rsidR="00C72B72" w:rsidRPr="00C72B72">
        <w:rPr>
          <w:rFonts w:asciiTheme="minorHAnsi" w:hAnsiTheme="minorHAnsi"/>
          <w:sz w:val="22"/>
          <w:lang w:val="sk-SK"/>
        </w:rPr>
        <w:t>prieskum</w:t>
      </w:r>
      <w:r w:rsidR="009F586C" w:rsidRPr="00C72B72">
        <w:rPr>
          <w:rFonts w:asciiTheme="minorHAnsi" w:hAnsiTheme="minorHAnsi"/>
          <w:sz w:val="22"/>
          <w:lang w:val="sk-SK"/>
        </w:rPr>
        <w:t xml:space="preserve"> ako PIAAC ale na regionálnej úrovni a regionálne štatistiky</w:t>
      </w:r>
      <w:r w:rsidR="003F17A0">
        <w:rPr>
          <w:rFonts w:asciiTheme="minorHAnsi" w:hAnsiTheme="minorHAnsi"/>
          <w:sz w:val="22"/>
          <w:lang w:val="sk-SK"/>
        </w:rPr>
        <w:t>.</w:t>
      </w:r>
      <w:r w:rsidR="009F586C" w:rsidRPr="00C72B72">
        <w:rPr>
          <w:rFonts w:asciiTheme="minorHAnsi" w:hAnsiTheme="minorHAnsi"/>
          <w:sz w:val="22"/>
          <w:lang w:val="sk-SK"/>
        </w:rPr>
        <w:t xml:space="preserve"> </w:t>
      </w:r>
    </w:p>
    <w:p w:rsidR="003F17A0" w:rsidRPr="00C72B72" w:rsidRDefault="003F17A0">
      <w:pPr>
        <w:rPr>
          <w:rFonts w:asciiTheme="minorHAnsi" w:hAnsiTheme="minorHAnsi"/>
          <w:sz w:val="22"/>
          <w:lang w:val="sk-SK"/>
        </w:rPr>
      </w:pPr>
    </w:p>
    <w:p w:rsidR="00307B2D" w:rsidRPr="00C72B72" w:rsidRDefault="009F586C" w:rsidP="00307B2D">
      <w:pPr>
        <w:rPr>
          <w:rFonts w:ascii="Calibri" w:hAnsi="Calibri" w:cs="Tahoma"/>
          <w:bCs/>
          <w:sz w:val="22"/>
          <w:szCs w:val="22"/>
          <w:lang w:val="sk-SK"/>
        </w:rPr>
      </w:pP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Komplexné štatistiky o </w:t>
      </w:r>
      <w:r w:rsidR="009A2A5B" w:rsidRPr="00C72B72">
        <w:rPr>
          <w:rFonts w:ascii="Calibri" w:hAnsi="Calibri" w:cs="Tahoma"/>
          <w:bCs/>
          <w:sz w:val="22"/>
          <w:szCs w:val="22"/>
          <w:lang w:val="sk-SK"/>
        </w:rPr>
        <w:t>(aktívnych)</w:t>
      </w:r>
      <w:r w:rsidR="009A2A5B">
        <w:rPr>
          <w:rFonts w:ascii="Calibri" w:hAnsi="Calibri" w:cs="Tahoma"/>
          <w:bCs/>
          <w:sz w:val="22"/>
          <w:szCs w:val="22"/>
          <w:lang w:val="sk-SK"/>
        </w:rPr>
        <w:t xml:space="preserve"> 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>poskytovateľoch vzdelávania a o existujúcich kurzoch by bol</w:t>
      </w:r>
      <w:r w:rsidR="003F17A0">
        <w:rPr>
          <w:rFonts w:ascii="Calibri" w:hAnsi="Calibri" w:cs="Tahoma"/>
          <w:bCs/>
          <w:sz w:val="22"/>
          <w:szCs w:val="22"/>
          <w:lang w:val="sk-SK"/>
        </w:rPr>
        <w:t>i nápomocné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, rovnako ako dobrý </w:t>
      </w:r>
      <w:r w:rsidR="00C72B72" w:rsidRPr="00C72B72">
        <w:rPr>
          <w:rFonts w:ascii="Calibri" w:hAnsi="Calibri" w:cs="Tahoma"/>
          <w:bCs/>
          <w:sz w:val="22"/>
          <w:szCs w:val="22"/>
          <w:lang w:val="sk-SK"/>
        </w:rPr>
        <w:t>informačný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 </w:t>
      </w:r>
      <w:r w:rsidR="00C72B72" w:rsidRPr="00C72B72">
        <w:rPr>
          <w:rFonts w:ascii="Calibri" w:hAnsi="Calibri" w:cs="Tahoma"/>
          <w:bCs/>
          <w:sz w:val="22"/>
          <w:szCs w:val="22"/>
          <w:lang w:val="sk-SK"/>
        </w:rPr>
        <w:t>systém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 o  kurzoch a</w:t>
      </w:r>
      <w:r w:rsidR="003F17A0">
        <w:rPr>
          <w:rFonts w:ascii="Calibri" w:hAnsi="Calibri" w:cs="Tahoma"/>
          <w:bCs/>
          <w:sz w:val="22"/>
          <w:szCs w:val="22"/>
          <w:lang w:val="sk-SK"/>
        </w:rPr>
        <w:t xml:space="preserve"> ich 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poskytovateľoch.  </w:t>
      </w:r>
    </w:p>
    <w:p w:rsidR="009A2A5B" w:rsidRDefault="009A2A5B" w:rsidP="009A2A5B">
      <w:pPr>
        <w:jc w:val="both"/>
        <w:rPr>
          <w:rFonts w:ascii="Calibri" w:hAnsi="Calibri" w:cs="Tahoma"/>
          <w:bCs/>
          <w:lang w:val="en-GB"/>
        </w:rPr>
      </w:pPr>
    </w:p>
    <w:p w:rsidR="00C535FF" w:rsidRDefault="00C535FF" w:rsidP="00C535FF">
      <w:pPr>
        <w:rPr>
          <w:rFonts w:ascii="Calibri" w:hAnsi="Calibri" w:cs="Tahoma"/>
          <w:bCs/>
          <w:sz w:val="22"/>
          <w:szCs w:val="22"/>
          <w:lang w:val="en-GB"/>
        </w:rPr>
      </w:pPr>
      <w:bookmarkStart w:id="6" w:name="_Toc421866799"/>
    </w:p>
    <w:p w:rsidR="00C535FF" w:rsidRDefault="00C535FF" w:rsidP="00C535FF">
      <w:pPr>
        <w:rPr>
          <w:rFonts w:ascii="Calibri" w:hAnsi="Calibri" w:cs="Tahoma"/>
          <w:bCs/>
          <w:sz w:val="22"/>
          <w:szCs w:val="22"/>
          <w:lang w:val="en-GB"/>
        </w:rPr>
      </w:pPr>
    </w:p>
    <w:p w:rsidR="00891ECE" w:rsidRDefault="00891ECE">
      <w:pPr>
        <w:rPr>
          <w:rFonts w:asciiTheme="minorHAnsi" w:eastAsiaTheme="majorEastAsia" w:hAnsiTheme="minorHAnsi" w:cstheme="majorBidi"/>
          <w:b/>
          <w:bCs/>
          <w:iCs/>
          <w:color w:val="1F497D" w:themeColor="text2"/>
          <w:sz w:val="22"/>
          <w:szCs w:val="22"/>
          <w:lang w:val="sk-SK"/>
        </w:rPr>
      </w:pPr>
      <w:r>
        <w:rPr>
          <w:lang w:val="sk-SK"/>
        </w:rPr>
        <w:br w:type="page"/>
      </w:r>
    </w:p>
    <w:p w:rsidR="00D31F73" w:rsidRPr="00C72B72" w:rsidRDefault="009F586C" w:rsidP="00D31F73">
      <w:pPr>
        <w:pStyle w:val="Nadpis2"/>
        <w:rPr>
          <w:lang w:val="sk-SK"/>
        </w:rPr>
      </w:pPr>
      <w:r w:rsidRPr="00C72B72">
        <w:rPr>
          <w:lang w:val="sk-SK"/>
        </w:rPr>
        <w:lastRenderedPageBreak/>
        <w:t>Závery</w:t>
      </w:r>
      <w:bookmarkEnd w:id="6"/>
    </w:p>
    <w:p w:rsidR="00D31F73" w:rsidRPr="00C72B72" w:rsidRDefault="00D31F73">
      <w:pPr>
        <w:rPr>
          <w:rFonts w:asciiTheme="minorHAnsi" w:hAnsiTheme="minorHAnsi"/>
          <w:sz w:val="22"/>
          <w:lang w:val="sk-SK"/>
        </w:rPr>
      </w:pPr>
    </w:p>
    <w:p w:rsidR="009F586C" w:rsidRPr="00C72B72" w:rsidRDefault="009F586C">
      <w:pPr>
        <w:rPr>
          <w:rFonts w:ascii="Calibri" w:hAnsi="Calibri" w:cs="Tahoma"/>
          <w:bCs/>
          <w:sz w:val="22"/>
          <w:szCs w:val="22"/>
          <w:lang w:val="sk-SK"/>
        </w:rPr>
      </w:pP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Politika VD </w:t>
      </w:r>
      <w:r w:rsidR="009A2A5B">
        <w:rPr>
          <w:rFonts w:ascii="Calibri" w:hAnsi="Calibri" w:cs="Tahoma"/>
          <w:bCs/>
          <w:sz w:val="22"/>
          <w:szCs w:val="22"/>
          <w:lang w:val="sk-SK"/>
        </w:rPr>
        <w:t xml:space="preserve">nie je na Slovensku formulovaná 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>na regionálnej úrovni</w:t>
      </w:r>
      <w:r w:rsidR="009A2A5B">
        <w:rPr>
          <w:rFonts w:ascii="Calibri" w:hAnsi="Calibri" w:cs="Tahoma"/>
          <w:bCs/>
          <w:sz w:val="22"/>
          <w:szCs w:val="22"/>
          <w:lang w:val="sk-SK"/>
        </w:rPr>
        <w:t>.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 Najdôležitejšie národné strategické dokumenty o celoživotnom vzdelávaní (pokrývajúce aj VD) boli pripravené na základe memoranda Európskej komisie </w:t>
      </w:r>
      <w:r w:rsidR="00E91A29" w:rsidRPr="00C72B72">
        <w:rPr>
          <w:rFonts w:ascii="Calibri" w:hAnsi="Calibri" w:cs="Tahoma"/>
          <w:bCs/>
          <w:sz w:val="22"/>
          <w:szCs w:val="22"/>
          <w:lang w:val="sk-SK"/>
        </w:rPr>
        <w:t>o celoživotnom vzdelávaní z roku 2000. Súčasné aktivity v oblasti VD sú rámcované zákonom o celoživotnom vzdelávaní z roku 2009 a Stratégiou celoživotného vzdelávania vrátane Akčného plánu z roku 2011. Stratégia je implementovaná pomaly a vlastne len cez národné projekty financované z ESF. Zdá sa, že neexistuj</w:t>
      </w:r>
      <w:r w:rsidR="00BB466C">
        <w:rPr>
          <w:rFonts w:ascii="Calibri" w:hAnsi="Calibri" w:cs="Tahoma"/>
          <w:bCs/>
          <w:sz w:val="22"/>
          <w:szCs w:val="22"/>
          <w:lang w:val="sk-SK"/>
        </w:rPr>
        <w:t>ú</w:t>
      </w:r>
      <w:r w:rsidR="00E91A29" w:rsidRPr="00C72B72">
        <w:rPr>
          <w:rFonts w:ascii="Calibri" w:hAnsi="Calibri" w:cs="Tahoma"/>
          <w:bCs/>
          <w:sz w:val="22"/>
          <w:szCs w:val="22"/>
          <w:lang w:val="sk-SK"/>
        </w:rPr>
        <w:t xml:space="preserve"> žiadne národné zdroje na financovania sektora VD. </w:t>
      </w:r>
      <w:r w:rsidR="009A2A5B">
        <w:rPr>
          <w:rFonts w:ascii="Calibri" w:hAnsi="Calibri" w:cs="Tahoma"/>
          <w:bCs/>
          <w:sz w:val="22"/>
          <w:szCs w:val="22"/>
          <w:lang w:val="sk-SK"/>
        </w:rPr>
        <w:t>V</w:t>
      </w:r>
      <w:r w:rsidR="00E91A29" w:rsidRPr="00C72B72">
        <w:rPr>
          <w:rFonts w:ascii="Calibri" w:hAnsi="Calibri" w:cs="Tahoma"/>
          <w:bCs/>
          <w:sz w:val="22"/>
          <w:szCs w:val="22"/>
          <w:lang w:val="sk-SK"/>
        </w:rPr>
        <w:t xml:space="preserve"> súčasnosti sa objavuje snaha situáciu meniť a pripravuje sa nový zákon, ktorý by mal zaviesť komplexný </w:t>
      </w:r>
      <w:r w:rsidR="00C72B72" w:rsidRPr="00C72B72">
        <w:rPr>
          <w:rFonts w:ascii="Calibri" w:hAnsi="Calibri" w:cs="Tahoma"/>
          <w:bCs/>
          <w:sz w:val="22"/>
          <w:szCs w:val="22"/>
          <w:lang w:val="sk-SK"/>
        </w:rPr>
        <w:t>systém</w:t>
      </w:r>
      <w:r w:rsidR="00E91A29" w:rsidRPr="00C72B72">
        <w:rPr>
          <w:rFonts w:ascii="Calibri" w:hAnsi="Calibri" w:cs="Tahoma"/>
          <w:bCs/>
          <w:sz w:val="22"/>
          <w:szCs w:val="22"/>
          <w:lang w:val="sk-SK"/>
        </w:rPr>
        <w:t xml:space="preserve"> tvorby a kontroly kvality tréningových programov, inštitúcií, monitorovanie potrieb a tiež financovanie. </w:t>
      </w:r>
    </w:p>
    <w:p w:rsidR="002D21C7" w:rsidRPr="00C72B72" w:rsidRDefault="002D21C7">
      <w:pPr>
        <w:rPr>
          <w:rFonts w:ascii="Calibri" w:hAnsi="Calibri" w:cs="Tahoma"/>
          <w:bCs/>
          <w:sz w:val="22"/>
          <w:szCs w:val="22"/>
          <w:lang w:val="sk-SK"/>
        </w:rPr>
      </w:pPr>
    </w:p>
    <w:p w:rsidR="00841839" w:rsidRPr="00BB466C" w:rsidRDefault="009A2A5B" w:rsidP="00841839">
      <w:pPr>
        <w:rPr>
          <w:rFonts w:ascii="Calibri" w:hAnsi="Calibri" w:cs="Tahoma"/>
          <w:bCs/>
          <w:sz w:val="22"/>
          <w:szCs w:val="22"/>
          <w:lang w:val="sk-SK"/>
        </w:rPr>
      </w:pPr>
      <w:r>
        <w:rPr>
          <w:rFonts w:ascii="Calibri" w:hAnsi="Calibri" w:cs="Tahoma"/>
          <w:bCs/>
          <w:sz w:val="22"/>
          <w:szCs w:val="22"/>
          <w:lang w:val="sk-SK"/>
        </w:rPr>
        <w:t xml:space="preserve">V tejto </w:t>
      </w:r>
      <w:r w:rsidR="00E91A29" w:rsidRPr="00C72B72">
        <w:rPr>
          <w:rFonts w:ascii="Calibri" w:hAnsi="Calibri" w:cs="Tahoma"/>
          <w:bCs/>
          <w:sz w:val="22"/>
          <w:szCs w:val="22"/>
          <w:lang w:val="sk-SK"/>
        </w:rPr>
        <w:t xml:space="preserve">oblasti </w:t>
      </w:r>
      <w:r>
        <w:rPr>
          <w:rFonts w:ascii="Calibri" w:hAnsi="Calibri" w:cs="Tahoma"/>
          <w:bCs/>
          <w:sz w:val="22"/>
          <w:szCs w:val="22"/>
          <w:lang w:val="sk-SK"/>
        </w:rPr>
        <w:t xml:space="preserve">prebiehajú </w:t>
      </w:r>
      <w:r w:rsidR="00E91A29" w:rsidRPr="00C72B72">
        <w:rPr>
          <w:rFonts w:ascii="Calibri" w:hAnsi="Calibri" w:cs="Tahoma"/>
          <w:bCs/>
          <w:sz w:val="22"/>
          <w:szCs w:val="22"/>
          <w:lang w:val="sk-SK"/>
        </w:rPr>
        <w:t>aj regionálne</w:t>
      </w:r>
      <w:r w:rsidRPr="009A2A5B">
        <w:rPr>
          <w:rFonts w:ascii="Calibri" w:hAnsi="Calibri" w:cs="Tahoma"/>
          <w:bCs/>
          <w:sz w:val="22"/>
          <w:szCs w:val="22"/>
          <w:lang w:val="sk-SK"/>
        </w:rPr>
        <w:t xml:space="preserve"> </w:t>
      </w:r>
      <w:r>
        <w:rPr>
          <w:rFonts w:ascii="Calibri" w:hAnsi="Calibri" w:cs="Tahoma"/>
          <w:bCs/>
          <w:sz w:val="22"/>
          <w:szCs w:val="22"/>
          <w:lang w:val="sk-SK"/>
        </w:rPr>
        <w:t xml:space="preserve">vzdelávacie 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>aktivity</w:t>
      </w:r>
      <w:r w:rsidR="00E91A29" w:rsidRPr="00C72B72">
        <w:rPr>
          <w:rFonts w:ascii="Calibri" w:hAnsi="Calibri" w:cs="Tahoma"/>
          <w:bCs/>
          <w:sz w:val="22"/>
          <w:szCs w:val="22"/>
          <w:lang w:val="sk-SK"/>
        </w:rPr>
        <w:t xml:space="preserve">, hoci nie sú evidované ako </w:t>
      </w:r>
      <w:r w:rsidR="00877C4F" w:rsidRPr="00C72B72">
        <w:rPr>
          <w:rFonts w:ascii="Calibri" w:hAnsi="Calibri" w:cs="Tahoma"/>
          <w:bCs/>
          <w:sz w:val="22"/>
          <w:szCs w:val="22"/>
          <w:lang w:val="sk-SK"/>
        </w:rPr>
        <w:t>VD (</w:t>
      </w:r>
      <w:r w:rsidR="00C72B72" w:rsidRPr="00C72B72">
        <w:rPr>
          <w:rFonts w:ascii="Calibri" w:hAnsi="Calibri" w:cs="Tahoma"/>
          <w:bCs/>
          <w:sz w:val="22"/>
          <w:szCs w:val="22"/>
          <w:lang w:val="sk-SK"/>
        </w:rPr>
        <w:t>používa</w:t>
      </w:r>
      <w:r>
        <w:rPr>
          <w:rFonts w:ascii="Calibri" w:hAnsi="Calibri" w:cs="Tahoma"/>
          <w:bCs/>
          <w:sz w:val="22"/>
          <w:szCs w:val="22"/>
          <w:lang w:val="sk-SK"/>
        </w:rPr>
        <w:t xml:space="preserve">jú </w:t>
      </w:r>
      <w:r w:rsidR="00877C4F" w:rsidRPr="00C72B72">
        <w:rPr>
          <w:rFonts w:ascii="Calibri" w:hAnsi="Calibri" w:cs="Tahoma"/>
          <w:bCs/>
          <w:sz w:val="22"/>
          <w:szCs w:val="22"/>
          <w:lang w:val="sk-SK"/>
        </w:rPr>
        <w:t>sa term</w:t>
      </w:r>
      <w:r>
        <w:rPr>
          <w:rFonts w:ascii="Calibri" w:hAnsi="Calibri" w:cs="Tahoma"/>
          <w:bCs/>
          <w:sz w:val="22"/>
          <w:szCs w:val="22"/>
          <w:lang w:val="sk-SK"/>
        </w:rPr>
        <w:t xml:space="preserve">íny </w:t>
      </w:r>
      <w:r w:rsidR="00877C4F" w:rsidRPr="00C72B72">
        <w:rPr>
          <w:rFonts w:ascii="Calibri" w:hAnsi="Calibri" w:cs="Tahoma"/>
          <w:bCs/>
          <w:sz w:val="22"/>
          <w:szCs w:val="22"/>
          <w:lang w:val="sk-SK"/>
        </w:rPr>
        <w:t>ako ďalšie vzdelávanie, kontinuálne vzdelávanie, rekvalifikácia…). Sú zahrnuté v kapitolách  Zamestnanosť alebo Ľudské zdroje v regionálnych plánoch sociálneho a ekonomického</w:t>
      </w:r>
      <w:r w:rsidR="00BB466C">
        <w:rPr>
          <w:rFonts w:ascii="Calibri" w:hAnsi="Calibri" w:cs="Tahoma"/>
          <w:bCs/>
          <w:sz w:val="22"/>
          <w:szCs w:val="22"/>
          <w:lang w:val="sk-SK"/>
        </w:rPr>
        <w:t xml:space="preserve"> rozvoja.  </w:t>
      </w:r>
      <w:r w:rsidR="00877C4F" w:rsidRPr="00C72B72">
        <w:rPr>
          <w:rFonts w:ascii="Calibri" w:hAnsi="Calibri" w:cs="Tahoma"/>
          <w:bCs/>
          <w:sz w:val="22"/>
          <w:szCs w:val="22"/>
          <w:lang w:val="sk-SK"/>
        </w:rPr>
        <w:t xml:space="preserve">Tu je ich hlavnou úlohou kvalifikovať alebo rekvalifikovať pracovnú silu, aby bola schopná sa zamestnať, alebo si zachovať existujúce zamestnanie. </w:t>
      </w:r>
    </w:p>
    <w:p w:rsidR="008A6848" w:rsidRPr="00C72B72" w:rsidRDefault="008A6848">
      <w:pPr>
        <w:rPr>
          <w:rFonts w:ascii="Calibri" w:hAnsi="Calibri" w:cs="Tahoma"/>
          <w:bCs/>
          <w:sz w:val="22"/>
          <w:szCs w:val="22"/>
          <w:lang w:val="sk-SK"/>
        </w:rPr>
      </w:pPr>
    </w:p>
    <w:p w:rsidR="00D81837" w:rsidRPr="00C72B72" w:rsidRDefault="00877C4F">
      <w:pPr>
        <w:rPr>
          <w:rFonts w:ascii="Calibri" w:hAnsi="Calibri" w:cs="Tahoma"/>
          <w:bCs/>
          <w:sz w:val="22"/>
          <w:szCs w:val="22"/>
          <w:lang w:val="sk-SK"/>
        </w:rPr>
      </w:pP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Plánovanie a implementácia akýchkoľvek aktivít v rámci VD je závislá na programovaní EÚ a administrovaní štrukturálnych fondov. </w:t>
      </w:r>
    </w:p>
    <w:p w:rsidR="00877C4F" w:rsidRPr="00C72B72" w:rsidRDefault="00877C4F">
      <w:pPr>
        <w:rPr>
          <w:rFonts w:ascii="Calibri" w:hAnsi="Calibri" w:cs="Tahoma"/>
          <w:bCs/>
          <w:sz w:val="22"/>
          <w:szCs w:val="22"/>
          <w:lang w:val="sk-SK"/>
        </w:rPr>
      </w:pPr>
    </w:p>
    <w:p w:rsidR="008A6848" w:rsidRPr="00C72B72" w:rsidRDefault="001A71A7">
      <w:pPr>
        <w:rPr>
          <w:rFonts w:ascii="Calibri" w:hAnsi="Calibri" w:cs="Tahoma"/>
          <w:bCs/>
          <w:sz w:val="22"/>
          <w:szCs w:val="22"/>
          <w:lang w:val="sk-SK"/>
        </w:rPr>
      </w:pP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V </w:t>
      </w:r>
      <w:r w:rsidR="009A2A5B">
        <w:rPr>
          <w:rFonts w:ascii="Calibri" w:hAnsi="Calibri" w:cs="Tahoma"/>
          <w:bCs/>
          <w:sz w:val="22"/>
          <w:szCs w:val="22"/>
          <w:lang w:val="sk-SK"/>
        </w:rPr>
        <w:t>S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tratégii celoživotného vzdelávania sa zmieňujú jeho 3 dimenzie, napriek tomu je implementovaná len jeho ekonomická dimenzia. Sociálna, </w:t>
      </w:r>
      <w:r w:rsidR="00C72B72" w:rsidRPr="00C72B72">
        <w:rPr>
          <w:rFonts w:ascii="Calibri" w:hAnsi="Calibri" w:cs="Tahoma"/>
          <w:bCs/>
          <w:sz w:val="22"/>
          <w:szCs w:val="22"/>
          <w:lang w:val="sk-SK"/>
        </w:rPr>
        <w:t>spoločenská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 stránka, oblasť aktívneho obči</w:t>
      </w:r>
      <w:r w:rsidR="009A2A5B">
        <w:rPr>
          <w:rFonts w:ascii="Calibri" w:hAnsi="Calibri" w:cs="Tahoma"/>
          <w:bCs/>
          <w:sz w:val="22"/>
          <w:szCs w:val="22"/>
          <w:lang w:val="sk-SK"/>
        </w:rPr>
        <w:t>anstva a osobného rozvoja sa nerozvíja.</w:t>
      </w:r>
    </w:p>
    <w:p w:rsidR="001A71A7" w:rsidRPr="00C72B72" w:rsidRDefault="001A71A7">
      <w:pPr>
        <w:rPr>
          <w:rFonts w:ascii="Calibri" w:hAnsi="Calibri" w:cs="Tahoma"/>
          <w:bCs/>
          <w:sz w:val="22"/>
          <w:szCs w:val="22"/>
          <w:lang w:val="sk-SK"/>
        </w:rPr>
      </w:pPr>
    </w:p>
    <w:p w:rsidR="008A6848" w:rsidRPr="00C72B72" w:rsidRDefault="001A71A7">
      <w:pPr>
        <w:rPr>
          <w:rFonts w:ascii="Calibri" w:hAnsi="Calibri" w:cs="Tahoma"/>
          <w:bCs/>
          <w:sz w:val="22"/>
          <w:szCs w:val="22"/>
          <w:lang w:val="sk-SK"/>
        </w:rPr>
      </w:pPr>
      <w:r w:rsidRPr="00C72B72">
        <w:rPr>
          <w:rFonts w:ascii="Calibri" w:hAnsi="Calibri" w:cs="Tahoma"/>
          <w:bCs/>
          <w:sz w:val="22"/>
          <w:szCs w:val="22"/>
          <w:lang w:val="sk-SK"/>
        </w:rPr>
        <w:t>Ako poučenie</w:t>
      </w:r>
      <w:r w:rsidR="009A2A5B">
        <w:rPr>
          <w:rFonts w:ascii="Calibri" w:hAnsi="Calibri" w:cs="Tahoma"/>
          <w:bCs/>
          <w:sz w:val="22"/>
          <w:szCs w:val="22"/>
          <w:lang w:val="sk-SK"/>
        </w:rPr>
        <w:t xml:space="preserve"> (</w:t>
      </w:r>
      <w:proofErr w:type="spellStart"/>
      <w:r w:rsidR="008A6848" w:rsidRPr="00C72B72">
        <w:rPr>
          <w:rFonts w:ascii="Calibri" w:hAnsi="Calibri" w:cs="Tahoma"/>
          <w:bCs/>
          <w:sz w:val="22"/>
          <w:szCs w:val="22"/>
          <w:lang w:val="sk-SK"/>
        </w:rPr>
        <w:t>lessons</w:t>
      </w:r>
      <w:proofErr w:type="spellEnd"/>
      <w:r w:rsidR="008A6848" w:rsidRPr="00C72B72">
        <w:rPr>
          <w:rFonts w:ascii="Calibri" w:hAnsi="Calibri" w:cs="Tahoma"/>
          <w:bCs/>
          <w:sz w:val="22"/>
          <w:szCs w:val="22"/>
          <w:lang w:val="sk-SK"/>
        </w:rPr>
        <w:t xml:space="preserve"> </w:t>
      </w:r>
      <w:proofErr w:type="spellStart"/>
      <w:r w:rsidR="008A6848" w:rsidRPr="00C72B72">
        <w:rPr>
          <w:rFonts w:ascii="Calibri" w:hAnsi="Calibri" w:cs="Tahoma"/>
          <w:bCs/>
          <w:sz w:val="22"/>
          <w:szCs w:val="22"/>
          <w:lang w:val="sk-SK"/>
        </w:rPr>
        <w:t>learnt</w:t>
      </w:r>
      <w:proofErr w:type="spellEnd"/>
      <w:r w:rsidR="009A2A5B">
        <w:rPr>
          <w:rFonts w:ascii="Calibri" w:hAnsi="Calibri" w:cs="Tahoma"/>
          <w:bCs/>
          <w:sz w:val="22"/>
          <w:szCs w:val="22"/>
          <w:lang w:val="sk-SK"/>
        </w:rPr>
        <w:t>)</w:t>
      </w:r>
      <w:r w:rsidR="008A6848" w:rsidRPr="00C72B72">
        <w:rPr>
          <w:rFonts w:ascii="Calibri" w:hAnsi="Calibri" w:cs="Tahoma"/>
          <w:bCs/>
          <w:sz w:val="22"/>
          <w:szCs w:val="22"/>
          <w:lang w:val="sk-SK"/>
        </w:rPr>
        <w:t xml:space="preserve"> 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môžeme ponúknuť </w:t>
      </w:r>
      <w:r w:rsidR="009A2A5B">
        <w:rPr>
          <w:rFonts w:ascii="Calibri" w:hAnsi="Calibri" w:cs="Tahoma"/>
          <w:bCs/>
          <w:sz w:val="22"/>
          <w:szCs w:val="22"/>
          <w:lang w:val="sk-SK"/>
        </w:rPr>
        <w:t xml:space="preserve">skúsenosť s čerpaním 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štrukturálnych fondov </w:t>
      </w:r>
      <w:r w:rsidR="009A2A5B">
        <w:rPr>
          <w:rFonts w:ascii="Calibri" w:hAnsi="Calibri" w:cs="Tahoma"/>
          <w:bCs/>
          <w:sz w:val="22"/>
          <w:szCs w:val="22"/>
          <w:lang w:val="sk-SK"/>
        </w:rPr>
        <w:t xml:space="preserve">v oblasti 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>VD. Predpokladom ich efektívneho využitia sú dob</w:t>
      </w:r>
      <w:r w:rsidR="009A2A5B">
        <w:rPr>
          <w:rFonts w:ascii="Calibri" w:hAnsi="Calibri" w:cs="Tahoma"/>
          <w:bCs/>
          <w:sz w:val="22"/>
          <w:szCs w:val="22"/>
          <w:lang w:val="sk-SK"/>
        </w:rPr>
        <w:t>r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é štatistické dáta, informácie o vzdelávacích potrebách a stratégia VD na regionálnej úrovni. </w:t>
      </w:r>
    </w:p>
    <w:p w:rsidR="001A71A7" w:rsidRPr="00C72B72" w:rsidRDefault="001A71A7">
      <w:pPr>
        <w:rPr>
          <w:rFonts w:ascii="Calibri" w:hAnsi="Calibri" w:cs="Tahoma"/>
          <w:bCs/>
          <w:sz w:val="22"/>
          <w:szCs w:val="22"/>
          <w:lang w:val="sk-SK"/>
        </w:rPr>
      </w:pPr>
    </w:p>
    <w:p w:rsidR="008A6848" w:rsidRPr="00C72B72" w:rsidRDefault="00747246">
      <w:pPr>
        <w:rPr>
          <w:rFonts w:ascii="Calibri" w:hAnsi="Calibri" w:cs="Tahoma"/>
          <w:bCs/>
          <w:sz w:val="22"/>
          <w:szCs w:val="22"/>
          <w:lang w:val="sk-SK"/>
        </w:rPr>
      </w:pP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Aby </w:t>
      </w:r>
      <w:r w:rsidR="0060210E" w:rsidRPr="00C72B72">
        <w:rPr>
          <w:rFonts w:ascii="Calibri" w:hAnsi="Calibri" w:cs="Tahoma"/>
          <w:bCs/>
          <w:sz w:val="22"/>
          <w:szCs w:val="22"/>
          <w:lang w:val="sk-SK"/>
        </w:rPr>
        <w:t xml:space="preserve">centrálne formulovaná </w:t>
      </w:r>
      <w:r w:rsidR="00A617E7" w:rsidRPr="00C72B72">
        <w:rPr>
          <w:rFonts w:ascii="Calibri" w:hAnsi="Calibri" w:cs="Tahoma"/>
          <w:bCs/>
          <w:sz w:val="22"/>
          <w:szCs w:val="22"/>
          <w:lang w:val="sk-SK"/>
        </w:rPr>
        <w:t xml:space="preserve">národná politika VD 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>mohla byť efektívne implementovaná</w:t>
      </w:r>
      <w:r w:rsidR="0060210E">
        <w:rPr>
          <w:rFonts w:ascii="Calibri" w:hAnsi="Calibri" w:cs="Tahoma"/>
          <w:bCs/>
          <w:sz w:val="22"/>
          <w:szCs w:val="22"/>
          <w:lang w:val="sk-SK"/>
        </w:rPr>
        <w:t xml:space="preserve"> na regionálnej úrovni</w:t>
      </w:r>
      <w:r w:rsidRPr="00C72B72">
        <w:rPr>
          <w:rFonts w:ascii="Calibri" w:hAnsi="Calibri" w:cs="Tahoma"/>
          <w:bCs/>
          <w:sz w:val="22"/>
          <w:szCs w:val="22"/>
          <w:lang w:val="sk-SK"/>
        </w:rPr>
        <w:t xml:space="preserve">, musí byť prenesená na regionálnu úroveň a reflektovať potreby regiónov. </w:t>
      </w:r>
    </w:p>
    <w:p w:rsidR="008A6848" w:rsidRPr="00C72B72" w:rsidRDefault="008A6848">
      <w:pPr>
        <w:rPr>
          <w:rFonts w:ascii="Calibri" w:hAnsi="Calibri" w:cs="Tahoma"/>
          <w:bCs/>
          <w:sz w:val="22"/>
          <w:szCs w:val="22"/>
          <w:lang w:val="sk-SK"/>
        </w:rPr>
      </w:pPr>
    </w:p>
    <w:p w:rsidR="00747246" w:rsidRPr="00C72B72" w:rsidRDefault="0060210E">
      <w:pPr>
        <w:rPr>
          <w:rFonts w:ascii="Calibri" w:hAnsi="Calibri" w:cs="Tahoma"/>
          <w:bCs/>
          <w:sz w:val="22"/>
          <w:szCs w:val="22"/>
          <w:lang w:val="sk-SK"/>
        </w:rPr>
      </w:pPr>
      <w:r>
        <w:rPr>
          <w:rFonts w:ascii="Calibri" w:hAnsi="Calibri" w:cs="Tahoma"/>
          <w:bCs/>
          <w:sz w:val="22"/>
          <w:szCs w:val="22"/>
          <w:lang w:val="sk-SK"/>
        </w:rPr>
        <w:t xml:space="preserve">Keď </w:t>
      </w:r>
      <w:r w:rsidR="00747246" w:rsidRPr="00C72B72">
        <w:rPr>
          <w:rFonts w:ascii="Calibri" w:hAnsi="Calibri" w:cs="Tahoma"/>
          <w:bCs/>
          <w:sz w:val="22"/>
          <w:szCs w:val="22"/>
          <w:lang w:val="sk-SK"/>
        </w:rPr>
        <w:t>sa pr</w:t>
      </w:r>
      <w:r>
        <w:rPr>
          <w:rFonts w:ascii="Calibri" w:hAnsi="Calibri" w:cs="Tahoma"/>
          <w:bCs/>
          <w:sz w:val="22"/>
          <w:szCs w:val="22"/>
          <w:lang w:val="sk-SK"/>
        </w:rPr>
        <w:t>i</w:t>
      </w:r>
      <w:r w:rsidR="00747246" w:rsidRPr="00C72B72">
        <w:rPr>
          <w:rFonts w:ascii="Calibri" w:hAnsi="Calibri" w:cs="Tahoma"/>
          <w:bCs/>
          <w:sz w:val="22"/>
          <w:szCs w:val="22"/>
          <w:lang w:val="sk-SK"/>
        </w:rPr>
        <w:t>jme rozhodnutie o tvorbe politik</w:t>
      </w:r>
      <w:r w:rsidR="00A617E7">
        <w:rPr>
          <w:rFonts w:ascii="Calibri" w:hAnsi="Calibri" w:cs="Tahoma"/>
          <w:bCs/>
          <w:sz w:val="22"/>
          <w:szCs w:val="22"/>
          <w:lang w:val="sk-SK"/>
        </w:rPr>
        <w:t>y</w:t>
      </w:r>
      <w:r w:rsidR="00747246" w:rsidRPr="00C72B72">
        <w:rPr>
          <w:rFonts w:ascii="Calibri" w:hAnsi="Calibri" w:cs="Tahoma"/>
          <w:bCs/>
          <w:sz w:val="22"/>
          <w:szCs w:val="22"/>
          <w:lang w:val="sk-SK"/>
        </w:rPr>
        <w:t xml:space="preserve"> VD na regionálnej úrovni, </w:t>
      </w:r>
      <w:r>
        <w:rPr>
          <w:rFonts w:ascii="Calibri" w:hAnsi="Calibri" w:cs="Tahoma"/>
          <w:bCs/>
          <w:sz w:val="22"/>
          <w:szCs w:val="22"/>
          <w:lang w:val="sk-SK"/>
        </w:rPr>
        <w:t xml:space="preserve">treba </w:t>
      </w:r>
      <w:r w:rsidR="00747246" w:rsidRPr="00C72B72">
        <w:rPr>
          <w:rFonts w:ascii="Calibri" w:hAnsi="Calibri" w:cs="Tahoma"/>
          <w:bCs/>
          <w:sz w:val="22"/>
          <w:szCs w:val="22"/>
          <w:lang w:val="sk-SK"/>
        </w:rPr>
        <w:t>vytvoriť sieť zainteresovaných inštitúcií/ jednotlivcov (</w:t>
      </w:r>
      <w:proofErr w:type="spellStart"/>
      <w:r w:rsidR="00747246" w:rsidRPr="00C72B72">
        <w:rPr>
          <w:rFonts w:ascii="Calibri" w:hAnsi="Calibri" w:cs="Tahoma"/>
          <w:bCs/>
          <w:sz w:val="22"/>
          <w:szCs w:val="22"/>
          <w:lang w:val="sk-SK"/>
        </w:rPr>
        <w:t>stakeholderov</w:t>
      </w:r>
      <w:proofErr w:type="spellEnd"/>
      <w:r w:rsidR="00747246" w:rsidRPr="00C72B72">
        <w:rPr>
          <w:rFonts w:ascii="Calibri" w:hAnsi="Calibri" w:cs="Tahoma"/>
          <w:bCs/>
          <w:sz w:val="22"/>
          <w:szCs w:val="22"/>
          <w:lang w:val="sk-SK"/>
        </w:rPr>
        <w:t xml:space="preserve">) a </w:t>
      </w:r>
      <w:r>
        <w:rPr>
          <w:rFonts w:ascii="Calibri" w:hAnsi="Calibri" w:cs="Tahoma"/>
          <w:bCs/>
          <w:sz w:val="22"/>
          <w:szCs w:val="22"/>
          <w:lang w:val="sk-SK"/>
        </w:rPr>
        <w:t>urobiť</w:t>
      </w:r>
      <w:r w:rsidR="00747246" w:rsidRPr="00C72B72">
        <w:rPr>
          <w:rFonts w:ascii="Calibri" w:hAnsi="Calibri" w:cs="Tahoma"/>
          <w:bCs/>
          <w:sz w:val="22"/>
          <w:szCs w:val="22"/>
          <w:lang w:val="sk-SK"/>
        </w:rPr>
        <w:t xml:space="preserve"> analýz</w:t>
      </w:r>
      <w:r>
        <w:rPr>
          <w:rFonts w:ascii="Calibri" w:hAnsi="Calibri" w:cs="Tahoma"/>
          <w:bCs/>
          <w:sz w:val="22"/>
          <w:szCs w:val="22"/>
          <w:lang w:val="sk-SK"/>
        </w:rPr>
        <w:t>u</w:t>
      </w:r>
      <w:r w:rsidR="00747246" w:rsidRPr="00C72B72">
        <w:rPr>
          <w:rFonts w:ascii="Calibri" w:hAnsi="Calibri" w:cs="Tahoma"/>
          <w:bCs/>
          <w:sz w:val="22"/>
          <w:szCs w:val="22"/>
          <w:lang w:val="sk-SK"/>
        </w:rPr>
        <w:t xml:space="preserve"> existujúcich </w:t>
      </w:r>
      <w:r w:rsidR="00C72B72" w:rsidRPr="00C72B72">
        <w:rPr>
          <w:rFonts w:ascii="Calibri" w:hAnsi="Calibri" w:cs="Tahoma"/>
          <w:bCs/>
          <w:sz w:val="22"/>
          <w:szCs w:val="22"/>
          <w:lang w:val="sk-SK"/>
        </w:rPr>
        <w:t>vzdelávac</w:t>
      </w:r>
      <w:r w:rsidR="00A617E7">
        <w:rPr>
          <w:rFonts w:ascii="Calibri" w:hAnsi="Calibri" w:cs="Tahoma"/>
          <w:bCs/>
          <w:sz w:val="22"/>
          <w:szCs w:val="22"/>
          <w:lang w:val="sk-SK"/>
        </w:rPr>
        <w:t>ích</w:t>
      </w:r>
      <w:r w:rsidR="00747246" w:rsidRPr="00C72B72">
        <w:rPr>
          <w:rFonts w:ascii="Calibri" w:hAnsi="Calibri" w:cs="Tahoma"/>
          <w:bCs/>
          <w:sz w:val="22"/>
          <w:szCs w:val="22"/>
          <w:lang w:val="sk-SK"/>
        </w:rPr>
        <w:t xml:space="preserve"> možnost</w:t>
      </w:r>
      <w:r w:rsidR="00A617E7">
        <w:rPr>
          <w:rFonts w:ascii="Calibri" w:hAnsi="Calibri" w:cs="Tahoma"/>
          <w:bCs/>
          <w:sz w:val="22"/>
          <w:szCs w:val="22"/>
          <w:lang w:val="sk-SK"/>
        </w:rPr>
        <w:t>í</w:t>
      </w:r>
      <w:r w:rsidR="00747246" w:rsidRPr="00C72B72">
        <w:rPr>
          <w:rFonts w:ascii="Calibri" w:hAnsi="Calibri" w:cs="Tahoma"/>
          <w:bCs/>
          <w:sz w:val="22"/>
          <w:szCs w:val="22"/>
          <w:lang w:val="sk-SK"/>
        </w:rPr>
        <w:t xml:space="preserve"> a </w:t>
      </w:r>
      <w:r w:rsidR="0094072C" w:rsidRPr="00C72B72">
        <w:rPr>
          <w:rFonts w:ascii="Calibri" w:hAnsi="Calibri" w:cs="Tahoma"/>
          <w:bCs/>
          <w:sz w:val="22"/>
          <w:szCs w:val="22"/>
          <w:lang w:val="sk-SK"/>
        </w:rPr>
        <w:t xml:space="preserve">posúdiť </w:t>
      </w:r>
      <w:r w:rsidR="00747246" w:rsidRPr="00C72B72">
        <w:rPr>
          <w:rFonts w:ascii="Calibri" w:hAnsi="Calibri" w:cs="Tahoma"/>
          <w:bCs/>
          <w:sz w:val="22"/>
          <w:szCs w:val="22"/>
          <w:lang w:val="sk-SK"/>
        </w:rPr>
        <w:t>situáci</w:t>
      </w:r>
      <w:r w:rsidR="0094072C" w:rsidRPr="00C72B72">
        <w:rPr>
          <w:rFonts w:ascii="Calibri" w:hAnsi="Calibri" w:cs="Tahoma"/>
          <w:bCs/>
          <w:sz w:val="22"/>
          <w:szCs w:val="22"/>
          <w:lang w:val="sk-SK"/>
        </w:rPr>
        <w:t>u</w:t>
      </w:r>
      <w:r w:rsidR="00747246" w:rsidRPr="00C72B72">
        <w:rPr>
          <w:rFonts w:ascii="Calibri" w:hAnsi="Calibri" w:cs="Tahoma"/>
          <w:bCs/>
          <w:sz w:val="22"/>
          <w:szCs w:val="22"/>
          <w:lang w:val="sk-SK"/>
        </w:rPr>
        <w:t xml:space="preserve"> vzhľadom na </w:t>
      </w:r>
      <w:r>
        <w:rPr>
          <w:rFonts w:ascii="Calibri" w:hAnsi="Calibri" w:cs="Tahoma"/>
          <w:bCs/>
          <w:sz w:val="22"/>
          <w:szCs w:val="22"/>
          <w:lang w:val="sk-SK"/>
        </w:rPr>
        <w:t xml:space="preserve">vzdelávacie </w:t>
      </w:r>
      <w:r w:rsidR="00747246" w:rsidRPr="00C72B72">
        <w:rPr>
          <w:rFonts w:ascii="Calibri" w:hAnsi="Calibri" w:cs="Tahoma"/>
          <w:bCs/>
          <w:sz w:val="22"/>
          <w:szCs w:val="22"/>
          <w:lang w:val="sk-SK"/>
        </w:rPr>
        <w:t>potreb</w:t>
      </w:r>
      <w:r>
        <w:rPr>
          <w:rFonts w:ascii="Calibri" w:hAnsi="Calibri" w:cs="Tahoma"/>
          <w:bCs/>
          <w:sz w:val="22"/>
          <w:szCs w:val="22"/>
          <w:lang w:val="sk-SK"/>
        </w:rPr>
        <w:t xml:space="preserve">y. </w:t>
      </w:r>
    </w:p>
    <w:p w:rsidR="00D31F73" w:rsidRPr="00C72B72" w:rsidRDefault="00D31F73">
      <w:pPr>
        <w:rPr>
          <w:rFonts w:asciiTheme="minorHAnsi" w:eastAsiaTheme="majorEastAsia" w:hAnsiTheme="minorHAnsi" w:cstheme="majorBidi"/>
          <w:b/>
          <w:bCs/>
          <w:iCs/>
          <w:color w:val="1F497D" w:themeColor="text2"/>
          <w:sz w:val="22"/>
          <w:szCs w:val="22"/>
          <w:lang w:val="sk-SK"/>
        </w:rPr>
      </w:pPr>
      <w:r w:rsidRPr="00C72B72">
        <w:rPr>
          <w:lang w:val="sk-SK"/>
        </w:rPr>
        <w:br w:type="page"/>
      </w:r>
    </w:p>
    <w:p w:rsidR="00D31F73" w:rsidRPr="00C72B72" w:rsidRDefault="00D31F73" w:rsidP="00D31F73">
      <w:pPr>
        <w:pStyle w:val="Nadpis2"/>
        <w:rPr>
          <w:lang w:val="sk-SK"/>
        </w:rPr>
      </w:pPr>
      <w:bookmarkStart w:id="7" w:name="_Toc421866800"/>
      <w:r w:rsidRPr="00C72B72">
        <w:rPr>
          <w:lang w:val="sk-SK"/>
        </w:rPr>
        <w:lastRenderedPageBreak/>
        <w:t>Bibliogra</w:t>
      </w:r>
      <w:r w:rsidR="0094072C" w:rsidRPr="00C72B72">
        <w:rPr>
          <w:lang w:val="sk-SK"/>
        </w:rPr>
        <w:t>fia</w:t>
      </w:r>
      <w:bookmarkEnd w:id="7"/>
    </w:p>
    <w:p w:rsidR="00771808" w:rsidRPr="00C72B72" w:rsidRDefault="00771808">
      <w:pPr>
        <w:rPr>
          <w:rFonts w:asciiTheme="minorHAnsi" w:hAnsiTheme="minorHAnsi"/>
          <w:sz w:val="22"/>
          <w:u w:val="single"/>
          <w:lang w:val="sk-SK"/>
        </w:rPr>
      </w:pPr>
    </w:p>
    <w:p w:rsidR="00302D74" w:rsidRPr="00C72B72" w:rsidRDefault="00771808">
      <w:pPr>
        <w:rPr>
          <w:rFonts w:asciiTheme="minorHAnsi" w:hAnsiTheme="minorHAnsi"/>
          <w:sz w:val="22"/>
          <w:u w:val="single"/>
          <w:lang w:val="sk-SK"/>
        </w:rPr>
      </w:pPr>
      <w:r w:rsidRPr="00C72B72">
        <w:rPr>
          <w:rFonts w:asciiTheme="minorHAnsi" w:hAnsiTheme="minorHAnsi"/>
          <w:sz w:val="22"/>
          <w:u w:val="single"/>
          <w:lang w:val="sk-SK"/>
        </w:rPr>
        <w:t>Do</w:t>
      </w:r>
      <w:r w:rsidR="0094072C" w:rsidRPr="00C72B72">
        <w:rPr>
          <w:rFonts w:asciiTheme="minorHAnsi" w:hAnsiTheme="minorHAnsi"/>
          <w:sz w:val="22"/>
          <w:u w:val="single"/>
          <w:lang w:val="sk-SK"/>
        </w:rPr>
        <w:t>kumenty</w:t>
      </w:r>
    </w:p>
    <w:p w:rsidR="00771808" w:rsidRPr="00C72B72" w:rsidRDefault="00771808">
      <w:pPr>
        <w:rPr>
          <w:rFonts w:asciiTheme="minorHAnsi" w:hAnsiTheme="minorHAnsi"/>
          <w:sz w:val="22"/>
          <w:lang w:val="sk-SK"/>
        </w:rPr>
      </w:pPr>
      <w:r w:rsidRPr="00C72B72">
        <w:rPr>
          <w:rFonts w:asciiTheme="minorHAnsi" w:hAnsiTheme="minorHAnsi"/>
          <w:sz w:val="22"/>
          <w:lang w:val="sk-SK"/>
        </w:rPr>
        <w:t xml:space="preserve">*Stratégia celoživotného vzdelávania 2011 </w:t>
      </w:r>
    </w:p>
    <w:p w:rsidR="0094072C" w:rsidRPr="00C72B72" w:rsidRDefault="00871D4F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>*Národný program reforiem Slovenskej republiky 2012, Slov</w:t>
      </w:r>
      <w:r w:rsidR="0094072C" w:rsidRPr="00C72B72">
        <w:rPr>
          <w:rFonts w:asciiTheme="minorHAnsi" w:hAnsiTheme="minorHAnsi"/>
          <w:sz w:val="22"/>
          <w:szCs w:val="22"/>
          <w:lang w:val="sk-SK"/>
        </w:rPr>
        <w:t>enská vláda</w:t>
      </w:r>
      <w:r w:rsidRPr="00C72B72">
        <w:rPr>
          <w:rFonts w:asciiTheme="minorHAnsi" w:hAnsiTheme="minorHAnsi"/>
          <w:sz w:val="22"/>
          <w:szCs w:val="22"/>
          <w:lang w:val="sk-SK"/>
        </w:rPr>
        <w:t xml:space="preserve"> </w:t>
      </w:r>
    </w:p>
    <w:p w:rsidR="0094072C" w:rsidRPr="00C72B72" w:rsidRDefault="00871D4F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>*Národný program reforiem Slovenskej republiky 2013, Slov</w:t>
      </w:r>
      <w:r w:rsidR="0094072C" w:rsidRPr="00C72B72">
        <w:rPr>
          <w:rFonts w:asciiTheme="minorHAnsi" w:hAnsiTheme="minorHAnsi"/>
          <w:sz w:val="22"/>
          <w:szCs w:val="22"/>
          <w:lang w:val="sk-SK"/>
        </w:rPr>
        <w:t xml:space="preserve">enská vláda </w:t>
      </w:r>
    </w:p>
    <w:p w:rsidR="0094072C" w:rsidRPr="00C72B72" w:rsidRDefault="00871D4F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>*Národný program reforiem Slovenskej republiky 2014, Slov</w:t>
      </w:r>
      <w:r w:rsidR="0094072C" w:rsidRPr="00C72B72">
        <w:rPr>
          <w:rFonts w:asciiTheme="minorHAnsi" w:hAnsiTheme="minorHAnsi"/>
          <w:sz w:val="22"/>
          <w:szCs w:val="22"/>
          <w:lang w:val="sk-SK"/>
        </w:rPr>
        <w:t xml:space="preserve">enská </w:t>
      </w:r>
      <w:r w:rsidR="00C72B72">
        <w:rPr>
          <w:rFonts w:asciiTheme="minorHAnsi" w:hAnsiTheme="minorHAnsi"/>
          <w:sz w:val="22"/>
          <w:szCs w:val="22"/>
          <w:lang w:val="sk-SK"/>
        </w:rPr>
        <w:t>vláda</w:t>
      </w:r>
    </w:p>
    <w:p w:rsidR="00871D4F" w:rsidRPr="00C72B72" w:rsidRDefault="00871D4F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 xml:space="preserve">*Operačný program Ľudské zdroje na programové obdobie 2014-2020,  </w:t>
      </w:r>
      <w:r w:rsidR="00C72B72" w:rsidRPr="00C72B72">
        <w:rPr>
          <w:rFonts w:asciiTheme="minorHAnsi" w:hAnsiTheme="minorHAnsi"/>
          <w:sz w:val="22"/>
          <w:szCs w:val="22"/>
          <w:lang w:val="sk-SK"/>
        </w:rPr>
        <w:t>Ministerstvo</w:t>
      </w:r>
      <w:r w:rsidR="0094072C" w:rsidRPr="00C72B72">
        <w:rPr>
          <w:rFonts w:asciiTheme="minorHAnsi" w:hAnsiTheme="minorHAnsi"/>
          <w:sz w:val="22"/>
          <w:szCs w:val="22"/>
          <w:lang w:val="sk-SK"/>
        </w:rPr>
        <w:t xml:space="preserve"> práce, sociálnych vecí a rodiny SR </w:t>
      </w:r>
    </w:p>
    <w:p w:rsidR="00871D4F" w:rsidRPr="00C72B72" w:rsidRDefault="00871D4F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 xml:space="preserve">*Operačný program vzdelávanie, programové obdobie 2014-2020, </w:t>
      </w:r>
      <w:r w:rsidR="00E8386D" w:rsidRPr="00C72B72">
        <w:rPr>
          <w:rFonts w:asciiTheme="minorHAnsi" w:hAnsiTheme="minorHAnsi"/>
          <w:sz w:val="22"/>
          <w:szCs w:val="22"/>
          <w:lang w:val="sk-SK"/>
        </w:rPr>
        <w:t>Minist</w:t>
      </w:r>
      <w:r w:rsidR="0094072C" w:rsidRPr="00C72B72">
        <w:rPr>
          <w:rFonts w:asciiTheme="minorHAnsi" w:hAnsiTheme="minorHAnsi"/>
          <w:sz w:val="22"/>
          <w:szCs w:val="22"/>
          <w:lang w:val="sk-SK"/>
        </w:rPr>
        <w:t xml:space="preserve">erstvo školstva, vedy, výskumu a športu SR </w:t>
      </w:r>
    </w:p>
    <w:p w:rsidR="0094072C" w:rsidRPr="00C72B72" w:rsidRDefault="00871D4F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 xml:space="preserve"> *Sústava škôl a školských zariadení na Slovensku, Minist</w:t>
      </w:r>
      <w:r w:rsidR="0094072C" w:rsidRPr="00C72B72">
        <w:rPr>
          <w:rFonts w:asciiTheme="minorHAnsi" w:hAnsiTheme="minorHAnsi"/>
          <w:sz w:val="22"/>
          <w:szCs w:val="22"/>
          <w:lang w:val="sk-SK"/>
        </w:rPr>
        <w:t xml:space="preserve">erstvo školstva , vedy, výskumu a športu SR </w:t>
      </w:r>
      <w:r w:rsidRPr="00C72B72">
        <w:rPr>
          <w:rFonts w:asciiTheme="minorHAnsi" w:hAnsiTheme="minorHAnsi"/>
          <w:sz w:val="22"/>
          <w:szCs w:val="22"/>
          <w:lang w:val="sk-SK"/>
        </w:rPr>
        <w:t>*Plán hospodárskeho a sociálneho rozvoja BSK 2014-2020</w:t>
      </w:r>
      <w:r w:rsidR="00E8386D" w:rsidRPr="00C72B72">
        <w:rPr>
          <w:rFonts w:asciiTheme="minorHAnsi" w:hAnsiTheme="minorHAnsi"/>
          <w:sz w:val="22"/>
          <w:szCs w:val="22"/>
          <w:lang w:val="sk-SK"/>
        </w:rPr>
        <w:t xml:space="preserve"> </w:t>
      </w:r>
    </w:p>
    <w:p w:rsidR="0094072C" w:rsidRPr="00C72B72" w:rsidRDefault="00871D4F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>*Inovačná stratégia BSK, 2014</w:t>
      </w:r>
      <w:r w:rsidR="00E8386D" w:rsidRPr="00C72B72">
        <w:rPr>
          <w:rFonts w:asciiTheme="minorHAnsi" w:hAnsiTheme="minorHAnsi"/>
          <w:sz w:val="22"/>
          <w:szCs w:val="22"/>
          <w:lang w:val="sk-SK"/>
        </w:rPr>
        <w:t xml:space="preserve"> </w:t>
      </w:r>
    </w:p>
    <w:p w:rsidR="00871D4F" w:rsidRPr="00C72B72" w:rsidRDefault="00871D4F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>*Regionálna stratégia výchovy a vzdelávania v stredných školách v BSK na roky 2013-2018, aktualizácia 2014</w:t>
      </w:r>
      <w:r w:rsidR="00E8386D" w:rsidRPr="00C72B72">
        <w:rPr>
          <w:rFonts w:asciiTheme="minorHAnsi" w:hAnsiTheme="minorHAnsi"/>
          <w:sz w:val="22"/>
          <w:szCs w:val="22"/>
          <w:lang w:val="sk-SK"/>
        </w:rPr>
        <w:t xml:space="preserve"> </w:t>
      </w:r>
    </w:p>
    <w:p w:rsidR="00871D4F" w:rsidRPr="00C72B72" w:rsidRDefault="00871D4F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>*Plán hospodárskeho a sociálneho rozvoja PSK 2008-2015</w:t>
      </w:r>
      <w:r w:rsidR="00E8386D" w:rsidRPr="00C72B72">
        <w:rPr>
          <w:rFonts w:asciiTheme="minorHAnsi" w:hAnsiTheme="minorHAnsi"/>
          <w:sz w:val="22"/>
          <w:szCs w:val="22"/>
          <w:lang w:val="sk-SK"/>
        </w:rPr>
        <w:t xml:space="preserve"> </w:t>
      </w:r>
    </w:p>
    <w:p w:rsidR="0094072C" w:rsidRPr="00C72B72" w:rsidRDefault="0094072C" w:rsidP="00871D4F">
      <w:pPr>
        <w:rPr>
          <w:rFonts w:asciiTheme="minorHAnsi" w:hAnsiTheme="minorHAnsi"/>
          <w:sz w:val="22"/>
          <w:szCs w:val="22"/>
          <w:lang w:val="sk-SK"/>
        </w:rPr>
      </w:pPr>
    </w:p>
    <w:p w:rsidR="00871D4F" w:rsidRPr="00C72B72" w:rsidRDefault="00771808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u w:val="single"/>
          <w:lang w:val="sk-SK"/>
        </w:rPr>
        <w:t>Web</w:t>
      </w:r>
      <w:r w:rsidR="0094072C" w:rsidRPr="00C72B72">
        <w:rPr>
          <w:rFonts w:asciiTheme="minorHAnsi" w:hAnsiTheme="minorHAnsi"/>
          <w:sz w:val="22"/>
          <w:szCs w:val="22"/>
          <w:u w:val="single"/>
          <w:lang w:val="sk-SK"/>
        </w:rPr>
        <w:t>-</w:t>
      </w:r>
      <w:r w:rsidRPr="00C72B72">
        <w:rPr>
          <w:rFonts w:asciiTheme="minorHAnsi" w:hAnsiTheme="minorHAnsi"/>
          <w:sz w:val="22"/>
          <w:szCs w:val="22"/>
          <w:u w:val="single"/>
          <w:lang w:val="sk-SK"/>
        </w:rPr>
        <w:t>s</w:t>
      </w:r>
      <w:r w:rsidR="0094072C" w:rsidRPr="00C72B72">
        <w:rPr>
          <w:rFonts w:asciiTheme="minorHAnsi" w:hAnsiTheme="minorHAnsi"/>
          <w:sz w:val="22"/>
          <w:szCs w:val="22"/>
          <w:u w:val="single"/>
          <w:lang w:val="sk-SK"/>
        </w:rPr>
        <w:t>tránky</w:t>
      </w:r>
    </w:p>
    <w:p w:rsidR="00771808" w:rsidRPr="00C72B72" w:rsidRDefault="00771808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 xml:space="preserve">*Ministerstvo školstva, vedy, výskumu a športu SR  </w:t>
      </w:r>
      <w:hyperlink r:id="rId8" w:history="1">
        <w:r w:rsidRPr="00C72B72">
          <w:rPr>
            <w:rStyle w:val="Hypertextovprepojenie"/>
            <w:rFonts w:asciiTheme="minorHAnsi" w:hAnsiTheme="minorHAnsi"/>
            <w:sz w:val="22"/>
            <w:szCs w:val="22"/>
            <w:lang w:val="sk-SK"/>
          </w:rPr>
          <w:t>www.minedu.sk</w:t>
        </w:r>
      </w:hyperlink>
      <w:r w:rsidRPr="00C72B72">
        <w:rPr>
          <w:rFonts w:asciiTheme="minorHAnsi" w:hAnsiTheme="minorHAnsi"/>
          <w:sz w:val="22"/>
          <w:szCs w:val="22"/>
          <w:lang w:val="sk-SK"/>
        </w:rPr>
        <w:t xml:space="preserve"> </w:t>
      </w:r>
    </w:p>
    <w:p w:rsidR="00871D4F" w:rsidRPr="00C72B72" w:rsidRDefault="00871D4F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>*Národný ústav celo</w:t>
      </w:r>
      <w:r w:rsidR="00771808" w:rsidRPr="00C72B72">
        <w:rPr>
          <w:rFonts w:asciiTheme="minorHAnsi" w:hAnsiTheme="minorHAnsi"/>
          <w:sz w:val="22"/>
          <w:szCs w:val="22"/>
          <w:lang w:val="sk-SK"/>
        </w:rPr>
        <w:t>ž</w:t>
      </w:r>
      <w:r w:rsidR="0094072C" w:rsidRPr="00C72B72">
        <w:rPr>
          <w:rFonts w:asciiTheme="minorHAnsi" w:hAnsiTheme="minorHAnsi"/>
          <w:sz w:val="22"/>
          <w:szCs w:val="22"/>
          <w:lang w:val="sk-SK"/>
        </w:rPr>
        <w:t xml:space="preserve">ivotného vzdelávania (NÚCŽV) </w:t>
      </w:r>
      <w:hyperlink r:id="rId9" w:history="1">
        <w:r w:rsidRPr="00C72B72">
          <w:rPr>
            <w:rStyle w:val="Hypertextovprepojenie"/>
            <w:rFonts w:asciiTheme="minorHAnsi" w:hAnsiTheme="minorHAnsi"/>
            <w:sz w:val="22"/>
            <w:szCs w:val="22"/>
            <w:lang w:val="sk-SK"/>
          </w:rPr>
          <w:t>www.nuczv.sk</w:t>
        </w:r>
      </w:hyperlink>
    </w:p>
    <w:p w:rsidR="00771808" w:rsidRPr="00C72B72" w:rsidRDefault="00871D4F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>*</w:t>
      </w:r>
      <w:r w:rsidR="000F5259" w:rsidRPr="00C72B72">
        <w:rPr>
          <w:rFonts w:asciiTheme="minorHAnsi" w:hAnsiTheme="minorHAnsi"/>
          <w:sz w:val="22"/>
          <w:szCs w:val="22"/>
          <w:lang w:val="sk-SK"/>
        </w:rPr>
        <w:t>Slovenská akademická asociácia pre medzinárodnú spoluprácu</w:t>
      </w:r>
      <w:r w:rsidR="0094072C" w:rsidRPr="00C72B72">
        <w:rPr>
          <w:rFonts w:asciiTheme="minorHAnsi" w:hAnsiTheme="minorHAnsi"/>
          <w:sz w:val="22"/>
          <w:szCs w:val="22"/>
          <w:lang w:val="sk-SK"/>
        </w:rPr>
        <w:t xml:space="preserve"> </w:t>
      </w:r>
      <w:hyperlink r:id="rId10" w:history="1">
        <w:r w:rsidR="000F5259" w:rsidRPr="00C72B72">
          <w:rPr>
            <w:rStyle w:val="Hypertextovprepojenie"/>
            <w:rFonts w:asciiTheme="minorHAnsi" w:hAnsiTheme="minorHAnsi"/>
            <w:sz w:val="22"/>
            <w:szCs w:val="22"/>
            <w:lang w:val="sk-SK"/>
          </w:rPr>
          <w:t>www.saaic.sk</w:t>
        </w:r>
      </w:hyperlink>
      <w:r w:rsidR="000F5259" w:rsidRPr="00C72B72">
        <w:rPr>
          <w:rFonts w:asciiTheme="minorHAnsi" w:hAnsiTheme="minorHAnsi"/>
          <w:sz w:val="22"/>
          <w:szCs w:val="22"/>
          <w:lang w:val="sk-SK"/>
        </w:rPr>
        <w:t xml:space="preserve"> </w:t>
      </w:r>
    </w:p>
    <w:p w:rsidR="00871D4F" w:rsidRPr="00C72B72" w:rsidRDefault="00771808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>*</w:t>
      </w:r>
      <w:r w:rsidR="00871D4F" w:rsidRPr="00C72B72">
        <w:rPr>
          <w:rFonts w:asciiTheme="minorHAnsi" w:hAnsiTheme="minorHAnsi"/>
          <w:sz w:val="22"/>
          <w:szCs w:val="22"/>
          <w:lang w:val="sk-SK"/>
        </w:rPr>
        <w:t>Asociácia inštitúcií vzdelávania dospelých</w:t>
      </w:r>
      <w:r w:rsidRPr="00C72B72">
        <w:rPr>
          <w:rFonts w:asciiTheme="minorHAnsi" w:hAnsiTheme="minorHAnsi"/>
          <w:sz w:val="22"/>
          <w:szCs w:val="22"/>
          <w:lang w:val="sk-SK"/>
        </w:rPr>
        <w:t xml:space="preserve"> </w:t>
      </w:r>
      <w:hyperlink r:id="rId11" w:history="1">
        <w:r w:rsidR="0094072C" w:rsidRPr="00C72B72">
          <w:rPr>
            <w:rStyle w:val="Hypertextovprepojenie"/>
            <w:rFonts w:asciiTheme="minorHAnsi" w:hAnsiTheme="minorHAnsi"/>
            <w:sz w:val="22"/>
            <w:szCs w:val="22"/>
            <w:lang w:val="sk-SK"/>
          </w:rPr>
          <w:t>www.aivd.sk</w:t>
        </w:r>
      </w:hyperlink>
    </w:p>
    <w:p w:rsidR="00C72B72" w:rsidRPr="00C72B72" w:rsidRDefault="00871D4F" w:rsidP="0094072C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 xml:space="preserve">*Národné </w:t>
      </w:r>
      <w:r w:rsidR="00C72B72" w:rsidRPr="00C72B72">
        <w:rPr>
          <w:rFonts w:asciiTheme="minorHAnsi" w:hAnsiTheme="minorHAnsi"/>
          <w:sz w:val="22"/>
          <w:szCs w:val="22"/>
          <w:lang w:val="sk-SK"/>
        </w:rPr>
        <w:t>fórum</w:t>
      </w:r>
      <w:r w:rsidRPr="00C72B72">
        <w:rPr>
          <w:rFonts w:asciiTheme="minorHAnsi" w:hAnsiTheme="minorHAnsi"/>
          <w:sz w:val="22"/>
          <w:szCs w:val="22"/>
          <w:lang w:val="sk-SK"/>
        </w:rPr>
        <w:t xml:space="preserve"> pre celoživotné poradenstvo</w:t>
      </w:r>
      <w:r w:rsidR="00771808" w:rsidRPr="00C72B72">
        <w:rPr>
          <w:rFonts w:asciiTheme="minorHAnsi" w:hAnsiTheme="minorHAnsi"/>
          <w:sz w:val="22"/>
          <w:szCs w:val="22"/>
          <w:lang w:val="sk-SK"/>
        </w:rPr>
        <w:t xml:space="preserve"> </w:t>
      </w:r>
    </w:p>
    <w:p w:rsidR="0094072C" w:rsidRPr="00C72B72" w:rsidRDefault="006A64D7" w:rsidP="0094072C">
      <w:pPr>
        <w:rPr>
          <w:rFonts w:asciiTheme="minorHAnsi" w:hAnsiTheme="minorHAnsi"/>
          <w:sz w:val="22"/>
          <w:szCs w:val="22"/>
          <w:lang w:val="sk-SK"/>
        </w:rPr>
      </w:pPr>
      <w:hyperlink r:id="rId12" w:history="1">
        <w:r w:rsidR="0094072C" w:rsidRPr="00C72B72">
          <w:rPr>
            <w:rStyle w:val="Hypertextovprepojenie"/>
            <w:rFonts w:asciiTheme="minorHAnsi" w:hAnsiTheme="minorHAnsi"/>
            <w:sz w:val="22"/>
            <w:szCs w:val="22"/>
            <w:lang w:val="sk-SK"/>
          </w:rPr>
          <w:t>http://nuczv.sk/narodne-forum-pre-celozivotne-poradenstvo</w:t>
        </w:r>
      </w:hyperlink>
    </w:p>
    <w:p w:rsidR="00871D4F" w:rsidRPr="00C72B72" w:rsidRDefault="00871D4F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>*Asociácia univerzít tretieho veku na Slovensku</w:t>
      </w:r>
      <w:r w:rsidR="00771808" w:rsidRPr="00C72B72">
        <w:rPr>
          <w:rFonts w:asciiTheme="minorHAnsi" w:hAnsiTheme="minorHAnsi"/>
          <w:sz w:val="22"/>
          <w:szCs w:val="22"/>
          <w:lang w:val="sk-SK"/>
        </w:rPr>
        <w:t xml:space="preserve"> </w:t>
      </w:r>
      <w:hyperlink r:id="rId13" w:history="1">
        <w:r w:rsidRPr="00C72B72">
          <w:rPr>
            <w:rStyle w:val="Hypertextovprepojenie"/>
            <w:rFonts w:asciiTheme="minorHAnsi" w:hAnsiTheme="minorHAnsi"/>
            <w:sz w:val="22"/>
            <w:szCs w:val="22"/>
            <w:lang w:val="sk-SK"/>
          </w:rPr>
          <w:t>www.asutv.sk</w:t>
        </w:r>
      </w:hyperlink>
    </w:p>
    <w:p w:rsidR="00871D4F" w:rsidRPr="00C72B72" w:rsidRDefault="00871D4F" w:rsidP="00871D4F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>*Slovenský štatistický úrad</w:t>
      </w:r>
      <w:r w:rsidR="0094072C" w:rsidRPr="00C72B72">
        <w:rPr>
          <w:rFonts w:asciiTheme="minorHAnsi" w:hAnsiTheme="minorHAnsi"/>
          <w:sz w:val="22"/>
          <w:szCs w:val="22"/>
          <w:lang w:val="sk-SK"/>
        </w:rPr>
        <w:t xml:space="preserve"> </w:t>
      </w:r>
      <w:hyperlink r:id="rId14" w:history="1">
        <w:r w:rsidRPr="00C72B72">
          <w:rPr>
            <w:rStyle w:val="Hypertextovprepojenie"/>
            <w:rFonts w:asciiTheme="minorHAnsi" w:hAnsiTheme="minorHAnsi"/>
            <w:sz w:val="22"/>
            <w:szCs w:val="22"/>
            <w:lang w:val="sk-SK"/>
          </w:rPr>
          <w:t>http://Slovak.statistics.sk</w:t>
        </w:r>
      </w:hyperlink>
    </w:p>
    <w:p w:rsidR="00871D4F" w:rsidRPr="00C72B72" w:rsidRDefault="00871D4F" w:rsidP="00871D4F">
      <w:pPr>
        <w:rPr>
          <w:rFonts w:asciiTheme="minorHAnsi" w:hAnsiTheme="minorHAnsi"/>
          <w:sz w:val="22"/>
          <w:szCs w:val="22"/>
          <w:lang w:val="sk-SK"/>
        </w:rPr>
      </w:pPr>
    </w:p>
    <w:p w:rsidR="00771808" w:rsidRPr="00C72B72" w:rsidRDefault="00771808" w:rsidP="00771808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u w:val="single"/>
          <w:lang w:val="sk-SK"/>
        </w:rPr>
        <w:t>Proje</w:t>
      </w:r>
      <w:r w:rsidR="0094072C" w:rsidRPr="00C72B72">
        <w:rPr>
          <w:rFonts w:asciiTheme="minorHAnsi" w:hAnsiTheme="minorHAnsi"/>
          <w:sz w:val="22"/>
          <w:szCs w:val="22"/>
          <w:u w:val="single"/>
          <w:lang w:val="sk-SK"/>
        </w:rPr>
        <w:t>kty</w:t>
      </w:r>
    </w:p>
    <w:p w:rsidR="00771808" w:rsidRPr="00C72B72" w:rsidRDefault="00771808" w:rsidP="00771808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 xml:space="preserve">*Národný projekt - Ďalšie vzdelávanie a </w:t>
      </w:r>
      <w:r w:rsidR="00C72B72" w:rsidRPr="00C72B72">
        <w:rPr>
          <w:rFonts w:asciiTheme="minorHAnsi" w:hAnsiTheme="minorHAnsi"/>
          <w:sz w:val="22"/>
          <w:szCs w:val="22"/>
          <w:lang w:val="sk-SK"/>
        </w:rPr>
        <w:t>poradenstvo</w:t>
      </w:r>
      <w:r w:rsidRPr="00C72B72">
        <w:rPr>
          <w:rFonts w:asciiTheme="minorHAnsi" w:hAnsiTheme="minorHAnsi"/>
          <w:sz w:val="22"/>
          <w:szCs w:val="22"/>
          <w:lang w:val="sk-SK"/>
        </w:rPr>
        <w:t xml:space="preserve"> pre dospelých ako nástroj lepšej uplatniteľnosti na trhu práce, </w:t>
      </w:r>
      <w:r w:rsidR="0094072C" w:rsidRPr="00C72B72">
        <w:rPr>
          <w:rFonts w:asciiTheme="minorHAnsi" w:hAnsiTheme="minorHAnsi"/>
          <w:sz w:val="22"/>
          <w:szCs w:val="22"/>
          <w:lang w:val="sk-SK"/>
        </w:rPr>
        <w:t>NUCŽV</w:t>
      </w:r>
      <w:r w:rsidRPr="00C72B72">
        <w:rPr>
          <w:rFonts w:asciiTheme="minorHAnsi" w:hAnsiTheme="minorHAnsi"/>
          <w:sz w:val="22"/>
          <w:szCs w:val="22"/>
          <w:lang w:val="sk-SK"/>
        </w:rPr>
        <w:t xml:space="preserve">  </w:t>
      </w:r>
      <w:hyperlink r:id="rId15" w:history="1">
        <w:r w:rsidRPr="00C72B72">
          <w:rPr>
            <w:rStyle w:val="Hypertextovprepojenie"/>
            <w:rFonts w:asciiTheme="minorHAnsi" w:hAnsiTheme="minorHAnsi"/>
            <w:sz w:val="22"/>
            <w:szCs w:val="22"/>
            <w:lang w:val="sk-SK"/>
          </w:rPr>
          <w:t>http://nuczv.sk/projekty/dalsie-vzdelavanie-a-poradenstvo-pre-dospelych-ako-nastroj-lepsej-uplatnitelnosti-na-trhu-prace/</w:t>
        </w:r>
      </w:hyperlink>
    </w:p>
    <w:p w:rsidR="00771808" w:rsidRPr="00C72B72" w:rsidRDefault="00771808" w:rsidP="00771808">
      <w:pPr>
        <w:rPr>
          <w:rFonts w:asciiTheme="minorHAnsi" w:hAnsiTheme="minorHAnsi"/>
          <w:sz w:val="22"/>
          <w:szCs w:val="22"/>
          <w:lang w:val="sk-SK"/>
        </w:rPr>
      </w:pPr>
      <w:r w:rsidRPr="00C72B72">
        <w:rPr>
          <w:rFonts w:asciiTheme="minorHAnsi" w:hAnsiTheme="minorHAnsi"/>
          <w:sz w:val="22"/>
          <w:szCs w:val="22"/>
          <w:lang w:val="sk-SK"/>
        </w:rPr>
        <w:t xml:space="preserve">*Národný projekt - Tvorba národnej sústavy kvalifikácií, </w:t>
      </w:r>
      <w:r w:rsidR="00C72B72" w:rsidRPr="00C72B72">
        <w:rPr>
          <w:rFonts w:asciiTheme="minorHAnsi" w:hAnsiTheme="minorHAnsi"/>
          <w:sz w:val="22"/>
          <w:szCs w:val="22"/>
          <w:lang w:val="sk-SK"/>
        </w:rPr>
        <w:t>Štátny inštitút</w:t>
      </w:r>
      <w:r w:rsidR="0094072C" w:rsidRPr="00C72B72">
        <w:rPr>
          <w:rFonts w:asciiTheme="minorHAnsi" w:hAnsiTheme="minorHAnsi"/>
          <w:sz w:val="22"/>
          <w:szCs w:val="22"/>
          <w:lang w:val="sk-SK"/>
        </w:rPr>
        <w:t xml:space="preserve"> odborného vzdelávania </w:t>
      </w:r>
      <w:hyperlink r:id="rId16" w:history="1">
        <w:r w:rsidRPr="00C72B72">
          <w:rPr>
            <w:rStyle w:val="Hypertextovprepojenie"/>
            <w:rFonts w:asciiTheme="minorHAnsi" w:hAnsiTheme="minorHAnsi"/>
            <w:sz w:val="22"/>
            <w:szCs w:val="22"/>
            <w:lang w:val="sk-SK"/>
          </w:rPr>
          <w:t>http://www.tvorbansk.sk/</w:t>
        </w:r>
      </w:hyperlink>
    </w:p>
    <w:p w:rsidR="00771808" w:rsidRPr="00E8386D" w:rsidRDefault="00771808" w:rsidP="00771808">
      <w:pPr>
        <w:rPr>
          <w:rFonts w:asciiTheme="minorHAnsi" w:hAnsiTheme="minorHAnsi"/>
          <w:sz w:val="22"/>
          <w:szCs w:val="22"/>
          <w:lang w:val="en-US"/>
        </w:rPr>
      </w:pPr>
    </w:p>
    <w:p w:rsidR="00871D4F" w:rsidRPr="00CF24C2" w:rsidRDefault="00871D4F" w:rsidP="00871D4F">
      <w:pPr>
        <w:rPr>
          <w:lang w:val="en-US"/>
        </w:rPr>
      </w:pPr>
    </w:p>
    <w:p w:rsidR="00D31F73" w:rsidRDefault="00D31F73">
      <w:pPr>
        <w:rPr>
          <w:rFonts w:asciiTheme="minorHAnsi" w:hAnsiTheme="minorHAnsi"/>
          <w:sz w:val="22"/>
          <w:lang w:val="en-US"/>
        </w:rPr>
      </w:pPr>
    </w:p>
    <w:p w:rsidR="00D31F73" w:rsidRPr="00302D74" w:rsidRDefault="00D31F73">
      <w:pPr>
        <w:rPr>
          <w:rFonts w:asciiTheme="minorHAnsi" w:hAnsiTheme="minorHAnsi"/>
          <w:sz w:val="22"/>
          <w:lang w:val="en-US"/>
        </w:rPr>
      </w:pPr>
    </w:p>
    <w:sectPr w:rsidR="00D31F73" w:rsidRPr="00302D74" w:rsidSect="00AA76D9">
      <w:headerReference w:type="default" r:id="rId17"/>
      <w:footerReference w:type="default" r:id="rId18"/>
      <w:headerReference w:type="first" r:id="rId19"/>
      <w:pgSz w:w="12240" w:h="15840" w:code="1"/>
      <w:pgMar w:top="1440" w:right="1440" w:bottom="993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5B" w:rsidRDefault="009A2A5B" w:rsidP="00D31F73">
      <w:r>
        <w:separator/>
      </w:r>
    </w:p>
  </w:endnote>
  <w:endnote w:type="continuationSeparator" w:id="0">
    <w:p w:rsidR="009A2A5B" w:rsidRDefault="009A2A5B" w:rsidP="00D3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22294"/>
      <w:docPartObj>
        <w:docPartGallery w:val="Page Numbers (Bottom of Page)"/>
        <w:docPartUnique/>
      </w:docPartObj>
    </w:sdtPr>
    <w:sdtContent>
      <w:p w:rsidR="009A2A5B" w:rsidRDefault="009A2A5B" w:rsidP="00351744"/>
      <w:p w:rsidR="009A2A5B" w:rsidRDefault="009A2A5B" w:rsidP="00351744">
        <w:r w:rsidRPr="00351744">
          <w:rPr>
            <w:noProof/>
            <w:lang w:val="sk-SK" w:eastAsia="sk-SK"/>
          </w:rPr>
          <w:drawing>
            <wp:inline distT="0" distB="0" distL="0" distR="0">
              <wp:extent cx="1320800" cy="446760"/>
              <wp:effectExtent l="19050" t="0" r="0" b="0"/>
              <wp:docPr id="18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0800" cy="446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9A2A5B" w:rsidRPr="00351744" w:rsidRDefault="009A2A5B" w:rsidP="00AA76D9">
        <w:pPr>
          <w:rPr>
            <w:sz w:val="22"/>
          </w:rPr>
        </w:pPr>
        <w:r>
          <w:rPr>
            <w:rFonts w:ascii="Arial" w:hAnsi="Arial" w:cs="Arial"/>
            <w:sz w:val="16"/>
            <w:szCs w:val="16"/>
          </w:rPr>
          <w:t xml:space="preserve">Projekt je financovaný </w:t>
        </w:r>
        <w:r>
          <w:rPr>
            <w:rFonts w:ascii="Arial" w:hAnsi="Arial" w:cs="Arial"/>
            <w:sz w:val="16"/>
            <w:szCs w:val="16"/>
          </w:rPr>
          <w:t>s podporou Európskej komisie. Táto publikácia reflektuje iba názory autora a Komisia nenesie zodpovednosť za využtie informácií, ktoré obsahuje.</w:t>
        </w:r>
      </w:p>
      <w:p w:rsidR="009A2A5B" w:rsidRDefault="009A2A5B">
        <w:pPr>
          <w:pStyle w:val="Pta"/>
          <w:jc w:val="right"/>
        </w:pPr>
        <w:r w:rsidRPr="00D31F73">
          <w:rPr>
            <w:rFonts w:asciiTheme="minorHAnsi" w:hAnsiTheme="minorHAnsi"/>
            <w:sz w:val="20"/>
          </w:rPr>
          <w:fldChar w:fldCharType="begin"/>
        </w:r>
        <w:r w:rsidRPr="00D31F73">
          <w:rPr>
            <w:rFonts w:asciiTheme="minorHAnsi" w:hAnsiTheme="minorHAnsi"/>
            <w:sz w:val="20"/>
          </w:rPr>
          <w:instrText xml:space="preserve"> PAGE   \* MERGEFORMAT </w:instrText>
        </w:r>
        <w:r w:rsidRPr="00D31F73">
          <w:rPr>
            <w:rFonts w:asciiTheme="minorHAnsi" w:hAnsiTheme="minorHAnsi"/>
            <w:sz w:val="20"/>
          </w:rPr>
          <w:fldChar w:fldCharType="separate"/>
        </w:r>
        <w:r w:rsidR="0060210E">
          <w:rPr>
            <w:rFonts w:asciiTheme="minorHAnsi" w:hAnsiTheme="minorHAnsi"/>
            <w:noProof/>
            <w:sz w:val="20"/>
          </w:rPr>
          <w:t>1</w:t>
        </w:r>
        <w:r w:rsidRPr="00D31F73">
          <w:rPr>
            <w:rFonts w:asciiTheme="minorHAnsi" w:hAnsiTheme="minorHAnsi"/>
            <w:sz w:val="20"/>
          </w:rPr>
          <w:fldChar w:fldCharType="end"/>
        </w:r>
      </w:p>
    </w:sdtContent>
  </w:sdt>
  <w:p w:rsidR="009A2A5B" w:rsidRDefault="009A2A5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5B" w:rsidRDefault="009A2A5B" w:rsidP="00D31F73">
      <w:r>
        <w:separator/>
      </w:r>
    </w:p>
  </w:footnote>
  <w:footnote w:type="continuationSeparator" w:id="0">
    <w:p w:rsidR="009A2A5B" w:rsidRDefault="009A2A5B" w:rsidP="00D31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26"/>
      <w:gridCol w:w="236"/>
    </w:tblGrid>
    <w:tr w:rsidR="009A2A5B" w:rsidTr="00351744">
      <w:tc>
        <w:tcPr>
          <w:tcW w:w="9726" w:type="dxa"/>
        </w:tcPr>
        <w:tbl>
          <w:tblPr>
            <w:tblStyle w:val="Mriekatabuky"/>
            <w:tblW w:w="95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835"/>
            <w:gridCol w:w="6675"/>
          </w:tblGrid>
          <w:tr w:rsidR="009A2A5B" w:rsidTr="00351744">
            <w:tc>
              <w:tcPr>
                <w:tcW w:w="2835" w:type="dxa"/>
              </w:tcPr>
              <w:p w:rsidR="009A2A5B" w:rsidRDefault="009A2A5B" w:rsidP="00351744">
                <w:pPr>
                  <w:pStyle w:val="Hlavika"/>
                </w:pPr>
                <w:r w:rsidRPr="00351744">
                  <w:rPr>
                    <w:noProof/>
                    <w:lang w:val="sk-SK" w:eastAsia="sk-SK"/>
                  </w:rPr>
                  <w:drawing>
                    <wp:inline distT="0" distB="0" distL="0" distR="0">
                      <wp:extent cx="1000303" cy="742950"/>
                      <wp:effectExtent l="19050" t="0" r="9347" b="0"/>
                      <wp:docPr id="16" name="Grafik 10" descr="REGIONAL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GIONAL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1222" cy="7436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</w:t>
                </w:r>
              </w:p>
            </w:tc>
            <w:tc>
              <w:tcPr>
                <w:tcW w:w="6675" w:type="dxa"/>
              </w:tcPr>
              <w:p w:rsidR="009A2A5B" w:rsidRDefault="009A2A5B" w:rsidP="00351744">
                <w:pPr>
                  <w:pStyle w:val="Hlavika"/>
                  <w:jc w:val="right"/>
                </w:pPr>
                <w:r w:rsidRPr="00351744">
                  <w:rPr>
                    <w:noProof/>
                    <w:lang w:val="sk-SK" w:eastAsia="sk-SK"/>
                  </w:rPr>
                  <w:drawing>
                    <wp:inline distT="0" distB="0" distL="0" distR="0">
                      <wp:extent cx="757545" cy="629728"/>
                      <wp:effectExtent l="19050" t="0" r="4455" b="0"/>
                      <wp:docPr id="17" name="Obrázok 3" descr="AI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IN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2376" cy="6337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A2A5B" w:rsidRDefault="009A2A5B" w:rsidP="00351744">
          <w:pPr>
            <w:pStyle w:val="Hlavika"/>
          </w:pPr>
        </w:p>
      </w:tc>
      <w:tc>
        <w:tcPr>
          <w:tcW w:w="236" w:type="dxa"/>
        </w:tcPr>
        <w:p w:rsidR="009A2A5B" w:rsidRDefault="009A2A5B" w:rsidP="00351744">
          <w:pPr>
            <w:pStyle w:val="Hlavika"/>
            <w:jc w:val="right"/>
          </w:pPr>
        </w:p>
      </w:tc>
    </w:tr>
  </w:tbl>
  <w:p w:rsidR="009A2A5B" w:rsidRDefault="009A2A5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99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26"/>
      <w:gridCol w:w="236"/>
    </w:tblGrid>
    <w:tr w:rsidR="009A2A5B" w:rsidTr="002D21C7">
      <w:tc>
        <w:tcPr>
          <w:tcW w:w="9726" w:type="dxa"/>
        </w:tcPr>
        <w:tbl>
          <w:tblPr>
            <w:tblStyle w:val="Mriekatabuky"/>
            <w:tblW w:w="95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835"/>
            <w:gridCol w:w="6675"/>
          </w:tblGrid>
          <w:tr w:rsidR="009A2A5B" w:rsidTr="002D21C7">
            <w:tc>
              <w:tcPr>
                <w:tcW w:w="2835" w:type="dxa"/>
              </w:tcPr>
              <w:p w:rsidR="009A2A5B" w:rsidRDefault="009A2A5B" w:rsidP="00EB6837">
                <w:pPr>
                  <w:pStyle w:val="Hlavika"/>
                </w:pPr>
                <w:r w:rsidRPr="00351744">
                  <w:rPr>
                    <w:noProof/>
                    <w:lang w:val="sk-SK" w:eastAsia="sk-SK"/>
                  </w:rPr>
                  <w:drawing>
                    <wp:inline distT="0" distB="0" distL="0" distR="0">
                      <wp:extent cx="1000303" cy="742950"/>
                      <wp:effectExtent l="19050" t="0" r="9347" b="0"/>
                      <wp:docPr id="19" name="Grafik 10" descr="REGIONAL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GIONAL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1222" cy="7436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</w:t>
                </w:r>
              </w:p>
            </w:tc>
            <w:tc>
              <w:tcPr>
                <w:tcW w:w="6675" w:type="dxa"/>
              </w:tcPr>
              <w:p w:rsidR="009A2A5B" w:rsidRDefault="009A2A5B" w:rsidP="00EB6837">
                <w:pPr>
                  <w:pStyle w:val="Hlavika"/>
                  <w:jc w:val="right"/>
                </w:pPr>
                <w:r w:rsidRPr="00351744">
                  <w:rPr>
                    <w:noProof/>
                    <w:lang w:val="sk-SK" w:eastAsia="sk-SK"/>
                  </w:rPr>
                  <w:drawing>
                    <wp:inline distT="0" distB="0" distL="0" distR="0">
                      <wp:extent cx="757545" cy="629728"/>
                      <wp:effectExtent l="19050" t="0" r="4455" b="0"/>
                      <wp:docPr id="20" name="Obrázok 3" descr="AI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IN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2376" cy="6337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A2A5B" w:rsidRDefault="009A2A5B" w:rsidP="00EB6837">
          <w:pPr>
            <w:pStyle w:val="Hlavika"/>
          </w:pPr>
        </w:p>
      </w:tc>
      <w:tc>
        <w:tcPr>
          <w:tcW w:w="236" w:type="dxa"/>
        </w:tcPr>
        <w:p w:rsidR="009A2A5B" w:rsidRDefault="009A2A5B" w:rsidP="00EB6837">
          <w:pPr>
            <w:pStyle w:val="Hlavika"/>
            <w:jc w:val="right"/>
          </w:pPr>
        </w:p>
      </w:tc>
    </w:tr>
  </w:tbl>
  <w:p w:rsidR="009A2A5B" w:rsidRDefault="009A2A5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C06"/>
    <w:multiLevelType w:val="hybridMultilevel"/>
    <w:tmpl w:val="4CB672C8"/>
    <w:lvl w:ilvl="0" w:tplc="FA006006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C1EE5"/>
    <w:multiLevelType w:val="hybridMultilevel"/>
    <w:tmpl w:val="4EF21ED8"/>
    <w:lvl w:ilvl="0" w:tplc="FA006006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02D74"/>
    <w:rsid w:val="00023D5E"/>
    <w:rsid w:val="00026631"/>
    <w:rsid w:val="0005222F"/>
    <w:rsid w:val="000E38B0"/>
    <w:rsid w:val="000E415F"/>
    <w:rsid w:val="000F5259"/>
    <w:rsid w:val="00101E68"/>
    <w:rsid w:val="00107691"/>
    <w:rsid w:val="001152E4"/>
    <w:rsid w:val="00126F41"/>
    <w:rsid w:val="00143959"/>
    <w:rsid w:val="001539EC"/>
    <w:rsid w:val="00153A06"/>
    <w:rsid w:val="0018012C"/>
    <w:rsid w:val="00184792"/>
    <w:rsid w:val="00194E88"/>
    <w:rsid w:val="001A71A7"/>
    <w:rsid w:val="001A7AE0"/>
    <w:rsid w:val="001C35D4"/>
    <w:rsid w:val="001C6977"/>
    <w:rsid w:val="001D1722"/>
    <w:rsid w:val="001E034D"/>
    <w:rsid w:val="002137CA"/>
    <w:rsid w:val="00222888"/>
    <w:rsid w:val="00234200"/>
    <w:rsid w:val="0024505C"/>
    <w:rsid w:val="0024773F"/>
    <w:rsid w:val="00254D48"/>
    <w:rsid w:val="002626EB"/>
    <w:rsid w:val="0026768C"/>
    <w:rsid w:val="002718A4"/>
    <w:rsid w:val="00276916"/>
    <w:rsid w:val="00290AE6"/>
    <w:rsid w:val="00291D02"/>
    <w:rsid w:val="002A384E"/>
    <w:rsid w:val="002D21C7"/>
    <w:rsid w:val="002E22E1"/>
    <w:rsid w:val="002E606E"/>
    <w:rsid w:val="002F5D00"/>
    <w:rsid w:val="003018BC"/>
    <w:rsid w:val="00302D74"/>
    <w:rsid w:val="003040A5"/>
    <w:rsid w:val="00307B2D"/>
    <w:rsid w:val="0033151E"/>
    <w:rsid w:val="00351744"/>
    <w:rsid w:val="00354945"/>
    <w:rsid w:val="00391C9D"/>
    <w:rsid w:val="003A494A"/>
    <w:rsid w:val="003E6C5F"/>
    <w:rsid w:val="003F17A0"/>
    <w:rsid w:val="003F44E3"/>
    <w:rsid w:val="00412D90"/>
    <w:rsid w:val="0043504F"/>
    <w:rsid w:val="00453CC5"/>
    <w:rsid w:val="00465362"/>
    <w:rsid w:val="00474E85"/>
    <w:rsid w:val="00481407"/>
    <w:rsid w:val="00483FB0"/>
    <w:rsid w:val="00495960"/>
    <w:rsid w:val="004968EC"/>
    <w:rsid w:val="004A0B6D"/>
    <w:rsid w:val="004A5463"/>
    <w:rsid w:val="004C5A18"/>
    <w:rsid w:val="004D14A4"/>
    <w:rsid w:val="004D491C"/>
    <w:rsid w:val="004D49D6"/>
    <w:rsid w:val="004E379B"/>
    <w:rsid w:val="00512BE2"/>
    <w:rsid w:val="00514578"/>
    <w:rsid w:val="0051706C"/>
    <w:rsid w:val="005202E0"/>
    <w:rsid w:val="005315DA"/>
    <w:rsid w:val="00560E27"/>
    <w:rsid w:val="005636AE"/>
    <w:rsid w:val="0056733E"/>
    <w:rsid w:val="00575C6D"/>
    <w:rsid w:val="00585BCB"/>
    <w:rsid w:val="005A28FD"/>
    <w:rsid w:val="005A5857"/>
    <w:rsid w:val="005D1224"/>
    <w:rsid w:val="005D1972"/>
    <w:rsid w:val="00600916"/>
    <w:rsid w:val="0060210E"/>
    <w:rsid w:val="00634C60"/>
    <w:rsid w:val="00650515"/>
    <w:rsid w:val="006532A8"/>
    <w:rsid w:val="00655FD5"/>
    <w:rsid w:val="006879AB"/>
    <w:rsid w:val="006A4064"/>
    <w:rsid w:val="006A5370"/>
    <w:rsid w:val="006A64D7"/>
    <w:rsid w:val="006C5A20"/>
    <w:rsid w:val="006D1078"/>
    <w:rsid w:val="006E7496"/>
    <w:rsid w:val="006F5CDB"/>
    <w:rsid w:val="00702E83"/>
    <w:rsid w:val="00706764"/>
    <w:rsid w:val="0072585C"/>
    <w:rsid w:val="007267A1"/>
    <w:rsid w:val="0073438B"/>
    <w:rsid w:val="0074503E"/>
    <w:rsid w:val="007467F2"/>
    <w:rsid w:val="00747246"/>
    <w:rsid w:val="007615EA"/>
    <w:rsid w:val="00765F64"/>
    <w:rsid w:val="00771808"/>
    <w:rsid w:val="0079009D"/>
    <w:rsid w:val="007A5930"/>
    <w:rsid w:val="007C5223"/>
    <w:rsid w:val="007E0B37"/>
    <w:rsid w:val="008318F8"/>
    <w:rsid w:val="00841839"/>
    <w:rsid w:val="008564CB"/>
    <w:rsid w:val="00861C46"/>
    <w:rsid w:val="00871D4F"/>
    <w:rsid w:val="00872CA0"/>
    <w:rsid w:val="00877C4F"/>
    <w:rsid w:val="0088034F"/>
    <w:rsid w:val="00891ECE"/>
    <w:rsid w:val="008A6848"/>
    <w:rsid w:val="008A7569"/>
    <w:rsid w:val="008B62FB"/>
    <w:rsid w:val="008C7251"/>
    <w:rsid w:val="008E054D"/>
    <w:rsid w:val="008F15DC"/>
    <w:rsid w:val="0092018B"/>
    <w:rsid w:val="009211B9"/>
    <w:rsid w:val="00927EEC"/>
    <w:rsid w:val="00936ED5"/>
    <w:rsid w:val="0094072C"/>
    <w:rsid w:val="00954CF1"/>
    <w:rsid w:val="009A2A5B"/>
    <w:rsid w:val="009B1DD6"/>
    <w:rsid w:val="009B31F5"/>
    <w:rsid w:val="009C1F7B"/>
    <w:rsid w:val="009D1EE8"/>
    <w:rsid w:val="009F586C"/>
    <w:rsid w:val="00A261DE"/>
    <w:rsid w:val="00A328FD"/>
    <w:rsid w:val="00A614E3"/>
    <w:rsid w:val="00A617E7"/>
    <w:rsid w:val="00A707A2"/>
    <w:rsid w:val="00A71779"/>
    <w:rsid w:val="00A75F39"/>
    <w:rsid w:val="00A85811"/>
    <w:rsid w:val="00AA1803"/>
    <w:rsid w:val="00AA76D9"/>
    <w:rsid w:val="00AB51A5"/>
    <w:rsid w:val="00AE697E"/>
    <w:rsid w:val="00AF0BA4"/>
    <w:rsid w:val="00B121AD"/>
    <w:rsid w:val="00B346BF"/>
    <w:rsid w:val="00B45A13"/>
    <w:rsid w:val="00B73144"/>
    <w:rsid w:val="00B7484A"/>
    <w:rsid w:val="00B80E7A"/>
    <w:rsid w:val="00B8596A"/>
    <w:rsid w:val="00BA0DCD"/>
    <w:rsid w:val="00BB466C"/>
    <w:rsid w:val="00BB7BD6"/>
    <w:rsid w:val="00BD37BD"/>
    <w:rsid w:val="00BD6E3E"/>
    <w:rsid w:val="00BF258B"/>
    <w:rsid w:val="00C20E64"/>
    <w:rsid w:val="00C31641"/>
    <w:rsid w:val="00C31873"/>
    <w:rsid w:val="00C51155"/>
    <w:rsid w:val="00C535FF"/>
    <w:rsid w:val="00C6353E"/>
    <w:rsid w:val="00C714F6"/>
    <w:rsid w:val="00C72B72"/>
    <w:rsid w:val="00C74661"/>
    <w:rsid w:val="00C76574"/>
    <w:rsid w:val="00CA5ABF"/>
    <w:rsid w:val="00D03189"/>
    <w:rsid w:val="00D14D92"/>
    <w:rsid w:val="00D2588F"/>
    <w:rsid w:val="00D31F73"/>
    <w:rsid w:val="00D367DD"/>
    <w:rsid w:val="00D74104"/>
    <w:rsid w:val="00D81837"/>
    <w:rsid w:val="00D86D68"/>
    <w:rsid w:val="00D91825"/>
    <w:rsid w:val="00DA51DC"/>
    <w:rsid w:val="00DB36CA"/>
    <w:rsid w:val="00DC350B"/>
    <w:rsid w:val="00DF69B8"/>
    <w:rsid w:val="00E155EB"/>
    <w:rsid w:val="00E52F3D"/>
    <w:rsid w:val="00E54093"/>
    <w:rsid w:val="00E8386D"/>
    <w:rsid w:val="00E84C91"/>
    <w:rsid w:val="00E91A29"/>
    <w:rsid w:val="00E95628"/>
    <w:rsid w:val="00EA4EBD"/>
    <w:rsid w:val="00EB6837"/>
    <w:rsid w:val="00EC6933"/>
    <w:rsid w:val="00EE6B51"/>
    <w:rsid w:val="00F65994"/>
    <w:rsid w:val="00F66C0A"/>
    <w:rsid w:val="00F74CA2"/>
    <w:rsid w:val="00F8657E"/>
    <w:rsid w:val="00F97C13"/>
    <w:rsid w:val="00FA7E2D"/>
    <w:rsid w:val="00FF7929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53E"/>
    <w:rPr>
      <w:sz w:val="24"/>
      <w:szCs w:val="24"/>
      <w:lang w:val="it-IT" w:eastAsia="zh-CN"/>
    </w:rPr>
  </w:style>
  <w:style w:type="paragraph" w:styleId="Nadpis1">
    <w:name w:val="heading 1"/>
    <w:basedOn w:val="Normlny"/>
    <w:next w:val="Normlny"/>
    <w:link w:val="Nadpis1Char"/>
    <w:qFormat/>
    <w:rsid w:val="00C635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302D74"/>
    <w:pPr>
      <w:keepNext/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color w:val="1F497D" w:themeColor="text2"/>
      <w:sz w:val="22"/>
      <w:szCs w:val="22"/>
      <w:lang w:val="en-US"/>
    </w:rPr>
  </w:style>
  <w:style w:type="paragraph" w:styleId="Nadpis3">
    <w:name w:val="heading 3"/>
    <w:basedOn w:val="Normlny"/>
    <w:next w:val="Normlny"/>
    <w:link w:val="Nadpis3Char"/>
    <w:unhideWhenUsed/>
    <w:qFormat/>
    <w:rsid w:val="00302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6353E"/>
    <w:rPr>
      <w:rFonts w:ascii="Cambria" w:eastAsia="Times New Roman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Nadpis2Char">
    <w:name w:val="Nadpis 2 Char"/>
    <w:basedOn w:val="Predvolenpsmoodseku"/>
    <w:link w:val="Nadpis2"/>
    <w:rsid w:val="00302D74"/>
    <w:rPr>
      <w:rFonts w:asciiTheme="minorHAnsi" w:eastAsiaTheme="majorEastAsia" w:hAnsiTheme="minorHAnsi" w:cstheme="majorBidi"/>
      <w:b/>
      <w:bCs/>
      <w:iCs/>
      <w:color w:val="1F497D" w:themeColor="text2"/>
      <w:sz w:val="22"/>
      <w:szCs w:val="22"/>
      <w:lang w:eastAsia="zh-CN"/>
    </w:rPr>
  </w:style>
  <w:style w:type="character" w:styleId="Siln">
    <w:name w:val="Strong"/>
    <w:basedOn w:val="Predvolenpsmoodseku"/>
    <w:uiPriority w:val="22"/>
    <w:qFormat/>
    <w:rsid w:val="00C6353E"/>
    <w:rPr>
      <w:b/>
      <w:bCs/>
    </w:rPr>
  </w:style>
  <w:style w:type="paragraph" w:styleId="Bezriadkovania">
    <w:name w:val="No Spacing"/>
    <w:uiPriority w:val="1"/>
    <w:qFormat/>
    <w:rsid w:val="00C6353E"/>
    <w:rPr>
      <w:rFonts w:ascii="Calibri" w:eastAsia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C6353E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6353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customStyle="1" w:styleId="titolo2">
    <w:name w:val="titolo 2"/>
    <w:basedOn w:val="Normlny"/>
    <w:link w:val="titolo2Char"/>
    <w:qFormat/>
    <w:rsid w:val="00C6353E"/>
    <w:pPr>
      <w:spacing w:line="360" w:lineRule="auto"/>
    </w:pPr>
    <w:rPr>
      <w:b/>
      <w:bCs/>
      <w:color w:val="1F497D"/>
      <w:sz w:val="22"/>
      <w:szCs w:val="22"/>
      <w:lang w:val="en-US"/>
    </w:rPr>
  </w:style>
  <w:style w:type="character" w:customStyle="1" w:styleId="titolo2Char">
    <w:name w:val="titolo 2 Char"/>
    <w:basedOn w:val="Predvolenpsmoodseku"/>
    <w:link w:val="titolo2"/>
    <w:rsid w:val="00C6353E"/>
    <w:rPr>
      <w:b/>
      <w:bCs/>
      <w:color w:val="1F497D"/>
      <w:sz w:val="22"/>
      <w:szCs w:val="22"/>
      <w:lang w:eastAsia="zh-CN"/>
    </w:rPr>
  </w:style>
  <w:style w:type="character" w:customStyle="1" w:styleId="Nadpis3Char">
    <w:name w:val="Nadpis 3 Char"/>
    <w:basedOn w:val="Predvolenpsmoodseku"/>
    <w:link w:val="Nadpis3"/>
    <w:rsid w:val="00302D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 w:eastAsia="zh-CN"/>
    </w:rPr>
  </w:style>
  <w:style w:type="paragraph" w:styleId="Obsah2">
    <w:name w:val="toc 2"/>
    <w:basedOn w:val="Normlny"/>
    <w:next w:val="Normlny"/>
    <w:autoRedefine/>
    <w:uiPriority w:val="39"/>
    <w:unhideWhenUsed/>
    <w:rsid w:val="00D31F73"/>
    <w:pPr>
      <w:spacing w:after="100"/>
      <w:ind w:left="240"/>
    </w:pPr>
  </w:style>
  <w:style w:type="character" w:styleId="Hypertextovprepojenie">
    <w:name w:val="Hyperlink"/>
    <w:basedOn w:val="Predvolenpsmoodseku"/>
    <w:uiPriority w:val="99"/>
    <w:unhideWhenUsed/>
    <w:rsid w:val="00D31F7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F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F73"/>
    <w:rPr>
      <w:rFonts w:ascii="Tahoma" w:hAnsi="Tahoma" w:cs="Tahoma"/>
      <w:sz w:val="16"/>
      <w:szCs w:val="16"/>
      <w:lang w:val="it-IT" w:eastAsia="zh-CN"/>
    </w:rPr>
  </w:style>
  <w:style w:type="paragraph" w:styleId="Hlavika">
    <w:name w:val="header"/>
    <w:basedOn w:val="Normlny"/>
    <w:link w:val="HlavikaChar"/>
    <w:uiPriority w:val="99"/>
    <w:unhideWhenUsed/>
    <w:rsid w:val="00D31F73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1F73"/>
    <w:rPr>
      <w:sz w:val="24"/>
      <w:szCs w:val="24"/>
      <w:lang w:val="it-IT" w:eastAsia="zh-CN"/>
    </w:rPr>
  </w:style>
  <w:style w:type="paragraph" w:styleId="Pta">
    <w:name w:val="footer"/>
    <w:basedOn w:val="Normlny"/>
    <w:link w:val="PtaChar"/>
    <w:uiPriority w:val="99"/>
    <w:unhideWhenUsed/>
    <w:rsid w:val="00D31F73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D31F73"/>
    <w:rPr>
      <w:sz w:val="24"/>
      <w:szCs w:val="24"/>
      <w:lang w:val="it-IT" w:eastAsia="zh-CN"/>
    </w:rPr>
  </w:style>
  <w:style w:type="table" w:styleId="Mriekatabuky">
    <w:name w:val="Table Grid"/>
    <w:basedOn w:val="Normlnatabuka"/>
    <w:uiPriority w:val="59"/>
    <w:rsid w:val="00D31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31F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18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hyperlink" Target="http://www.asutv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uczv.sk/narodne-forum-pre-celozivotne-poradenstv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vorbansk.s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vd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uczv.sk/projekty/dalsie-vzdelavanie-a-poradenstvo-pre-dospelych-ako-nastroj-lepsej-uplatnitelnosti-na-trhu-prace/" TargetMode="External"/><Relationship Id="rId10" Type="http://schemas.openxmlformats.org/officeDocument/2006/relationships/hyperlink" Target="http://www.saaic.s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uczv.sk" TargetMode="External"/><Relationship Id="rId14" Type="http://schemas.openxmlformats.org/officeDocument/2006/relationships/hyperlink" Target="http://Slovak.statistics.sk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70BF-4D91-4521-BA70-9F913B91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3416</Words>
  <Characters>19473</Characters>
  <Application>Microsoft Office Word</Application>
  <DocSecurity>0</DocSecurity>
  <Lines>162</Lines>
  <Paragraphs>45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Executive Summary</vt:lpstr>
      <vt:lpstr>    Introduction: REGIONAL Project and [Country]</vt:lpstr>
    </vt:vector>
  </TitlesOfParts>
  <Company>Hewlett-Packard</Company>
  <LinksUpToDate>false</LinksUpToDate>
  <CharactersWithSpaces>22844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Marta Jendeková</cp:lastModifiedBy>
  <cp:revision>3</cp:revision>
  <dcterms:created xsi:type="dcterms:W3CDTF">2015-06-12T10:08:00Z</dcterms:created>
  <dcterms:modified xsi:type="dcterms:W3CDTF">2015-06-12T10:43:00Z</dcterms:modified>
</cp:coreProperties>
</file>