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EB6837" w:rsidRPr="00293A01" w:rsidTr="002D21C7">
        <w:trPr>
          <w:trHeight w:val="12631"/>
        </w:trPr>
        <w:tc>
          <w:tcPr>
            <w:tcW w:w="9212" w:type="dxa"/>
            <w:vAlign w:val="center"/>
          </w:tcPr>
          <w:p w:rsidR="00EB6837" w:rsidRDefault="00EB6837" w:rsidP="002D21C7">
            <w:pPr>
              <w:jc w:val="both"/>
              <w:rPr>
                <w:rFonts w:ascii="Arial" w:hAnsi="Arial" w:cs="Arial"/>
                <w:b/>
                <w:sz w:val="50"/>
                <w:szCs w:val="50"/>
              </w:rPr>
            </w:pPr>
            <w:bookmarkStart w:id="0" w:name="_GoBack"/>
            <w:bookmarkEnd w:id="0"/>
            <w:r>
              <w:rPr>
                <w:rFonts w:ascii="Arial" w:hAnsi="Arial" w:cs="Arial"/>
                <w:b/>
                <w:sz w:val="50"/>
                <w:szCs w:val="50"/>
              </w:rPr>
              <w:t>Country Profile</w:t>
            </w:r>
          </w:p>
          <w:p w:rsidR="00EB6837" w:rsidRDefault="00EB6837" w:rsidP="002D21C7">
            <w:pPr>
              <w:jc w:val="both"/>
              <w:rPr>
                <w:rFonts w:ascii="Arial" w:hAnsi="Arial" w:cs="Arial"/>
              </w:rPr>
            </w:pPr>
          </w:p>
          <w:p w:rsidR="00EB6837" w:rsidRDefault="00EB6837" w:rsidP="002D21C7">
            <w:pPr>
              <w:jc w:val="both"/>
              <w:rPr>
                <w:rFonts w:ascii="Arial" w:hAnsi="Arial" w:cs="Arial"/>
                <w:b/>
              </w:rPr>
            </w:pPr>
            <w:r>
              <w:rPr>
                <w:rFonts w:ascii="Arial" w:hAnsi="Arial" w:cs="Arial"/>
                <w:b/>
              </w:rPr>
              <w:t>REGIONAL – Comparative Analysis of Regional Policies for Adult Learning</w:t>
            </w:r>
          </w:p>
          <w:p w:rsidR="00EB6837" w:rsidRDefault="00EB6837" w:rsidP="002D21C7">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6723"/>
            </w:tblGrid>
            <w:tr w:rsidR="00EB6837" w:rsidTr="002D21C7">
              <w:trPr>
                <w:trHeight w:val="122"/>
              </w:trPr>
              <w:tc>
                <w:tcPr>
                  <w:tcW w:w="2263" w:type="dxa"/>
                  <w:tcBorders>
                    <w:top w:val="single" w:sz="4" w:space="0" w:color="auto"/>
                    <w:left w:val="single" w:sz="4" w:space="0" w:color="auto"/>
                    <w:bottom w:val="single" w:sz="4" w:space="0" w:color="auto"/>
                    <w:right w:val="single" w:sz="4" w:space="0" w:color="auto"/>
                  </w:tcBorders>
                  <w:hideMark/>
                </w:tcPr>
                <w:p w:rsidR="00EB6837" w:rsidRDefault="00EB6837" w:rsidP="002D21C7">
                  <w:pPr>
                    <w:autoSpaceDE w:val="0"/>
                    <w:autoSpaceDN w:val="0"/>
                    <w:adjustRightInd w:val="0"/>
                    <w:rPr>
                      <w:rFonts w:ascii="Calibri" w:hAnsi="Calibri" w:cs="Calibri"/>
                      <w:color w:val="000000"/>
                    </w:rPr>
                  </w:pPr>
                  <w:r>
                    <w:rPr>
                      <w:rFonts w:ascii="Calibri" w:hAnsi="Calibri" w:cs="Calibri"/>
                      <w:b/>
                      <w:bCs/>
                      <w:color w:val="000000"/>
                    </w:rPr>
                    <w:t xml:space="preserve">Project Reference no. </w:t>
                  </w:r>
                </w:p>
              </w:tc>
              <w:tc>
                <w:tcPr>
                  <w:tcW w:w="6723" w:type="dxa"/>
                  <w:tcBorders>
                    <w:top w:val="single" w:sz="4" w:space="0" w:color="auto"/>
                    <w:left w:val="single" w:sz="4" w:space="0" w:color="auto"/>
                    <w:bottom w:val="single" w:sz="4" w:space="0" w:color="auto"/>
                    <w:right w:val="single" w:sz="4" w:space="0" w:color="auto"/>
                  </w:tcBorders>
                  <w:hideMark/>
                </w:tcPr>
                <w:p w:rsidR="00EB6837" w:rsidRDefault="00EB6837" w:rsidP="002D21C7">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539389-LLP-1-2013-1-DE-GRUNDTVIG-GMP </w:t>
                  </w:r>
                </w:p>
              </w:tc>
            </w:tr>
            <w:tr w:rsidR="00EB6837" w:rsidTr="002D21C7">
              <w:trPr>
                <w:trHeight w:val="110"/>
              </w:trPr>
              <w:tc>
                <w:tcPr>
                  <w:tcW w:w="2263" w:type="dxa"/>
                  <w:tcBorders>
                    <w:top w:val="single" w:sz="4" w:space="0" w:color="auto"/>
                    <w:left w:val="single" w:sz="4" w:space="0" w:color="auto"/>
                    <w:bottom w:val="single" w:sz="4" w:space="0" w:color="auto"/>
                    <w:right w:val="single" w:sz="4" w:space="0" w:color="auto"/>
                  </w:tcBorders>
                  <w:hideMark/>
                </w:tcPr>
                <w:p w:rsidR="00EB6837" w:rsidRDefault="00EB6837" w:rsidP="002D21C7">
                  <w:pPr>
                    <w:autoSpaceDE w:val="0"/>
                    <w:autoSpaceDN w:val="0"/>
                    <w:adjustRightInd w:val="0"/>
                    <w:rPr>
                      <w:rFonts w:ascii="Calibri" w:hAnsi="Calibri" w:cs="Calibri"/>
                      <w:color w:val="000000"/>
                    </w:rPr>
                  </w:pPr>
                  <w:r>
                    <w:rPr>
                      <w:rFonts w:ascii="Calibri" w:hAnsi="Calibri" w:cs="Calibri"/>
                      <w:b/>
                      <w:bCs/>
                      <w:color w:val="000000"/>
                    </w:rPr>
                    <w:t xml:space="preserve">Workpackage no. </w:t>
                  </w:r>
                </w:p>
              </w:tc>
              <w:tc>
                <w:tcPr>
                  <w:tcW w:w="6723" w:type="dxa"/>
                  <w:tcBorders>
                    <w:top w:val="single" w:sz="4" w:space="0" w:color="auto"/>
                    <w:left w:val="single" w:sz="4" w:space="0" w:color="auto"/>
                    <w:bottom w:val="single" w:sz="4" w:space="0" w:color="auto"/>
                    <w:right w:val="single" w:sz="4" w:space="0" w:color="auto"/>
                  </w:tcBorders>
                  <w:hideMark/>
                </w:tcPr>
                <w:p w:rsidR="00EB6837" w:rsidRDefault="00EB6837" w:rsidP="002D21C7">
                  <w:pPr>
                    <w:autoSpaceDE w:val="0"/>
                    <w:autoSpaceDN w:val="0"/>
                    <w:adjustRightInd w:val="0"/>
                    <w:rPr>
                      <w:rFonts w:ascii="Calibri" w:hAnsi="Calibri" w:cs="Calibri"/>
                      <w:color w:val="000000"/>
                    </w:rPr>
                  </w:pPr>
                  <w:r>
                    <w:rPr>
                      <w:rFonts w:ascii="Calibri" w:hAnsi="Calibri" w:cs="Calibri"/>
                      <w:color w:val="000000"/>
                    </w:rPr>
                    <w:t xml:space="preserve">WP 2 – Research </w:t>
                  </w:r>
                </w:p>
              </w:tc>
            </w:tr>
            <w:tr w:rsidR="00EB6837" w:rsidTr="002D21C7">
              <w:trPr>
                <w:trHeight w:val="110"/>
              </w:trPr>
              <w:tc>
                <w:tcPr>
                  <w:tcW w:w="2263" w:type="dxa"/>
                  <w:tcBorders>
                    <w:top w:val="single" w:sz="4" w:space="0" w:color="auto"/>
                    <w:left w:val="single" w:sz="4" w:space="0" w:color="auto"/>
                    <w:bottom w:val="single" w:sz="4" w:space="0" w:color="auto"/>
                    <w:right w:val="single" w:sz="4" w:space="0" w:color="auto"/>
                  </w:tcBorders>
                  <w:hideMark/>
                </w:tcPr>
                <w:p w:rsidR="00EB6837" w:rsidRDefault="00EB6837" w:rsidP="002D21C7">
                  <w:pPr>
                    <w:autoSpaceDE w:val="0"/>
                    <w:autoSpaceDN w:val="0"/>
                    <w:adjustRightInd w:val="0"/>
                    <w:rPr>
                      <w:rFonts w:ascii="Calibri" w:hAnsi="Calibri" w:cs="Calibri"/>
                      <w:color w:val="000000"/>
                    </w:rPr>
                  </w:pPr>
                  <w:r>
                    <w:rPr>
                      <w:rFonts w:ascii="Calibri" w:hAnsi="Calibri" w:cs="Calibri"/>
                      <w:b/>
                      <w:bCs/>
                      <w:color w:val="000000"/>
                    </w:rPr>
                    <w:t xml:space="preserve">Deliverable no. </w:t>
                  </w:r>
                </w:p>
              </w:tc>
              <w:tc>
                <w:tcPr>
                  <w:tcW w:w="6723" w:type="dxa"/>
                  <w:tcBorders>
                    <w:top w:val="single" w:sz="4" w:space="0" w:color="auto"/>
                    <w:left w:val="single" w:sz="4" w:space="0" w:color="auto"/>
                    <w:bottom w:val="single" w:sz="4" w:space="0" w:color="auto"/>
                    <w:right w:val="single" w:sz="4" w:space="0" w:color="auto"/>
                  </w:tcBorders>
                  <w:hideMark/>
                </w:tcPr>
                <w:p w:rsidR="00EB6837" w:rsidRDefault="00EB6837" w:rsidP="002D21C7">
                  <w:pPr>
                    <w:autoSpaceDE w:val="0"/>
                    <w:autoSpaceDN w:val="0"/>
                    <w:adjustRightInd w:val="0"/>
                    <w:rPr>
                      <w:rFonts w:ascii="Calibri" w:hAnsi="Calibri" w:cs="Calibri"/>
                      <w:color w:val="000000"/>
                    </w:rPr>
                  </w:pPr>
                  <w:r>
                    <w:rPr>
                      <w:rFonts w:ascii="Calibri" w:hAnsi="Calibri" w:cs="Calibri"/>
                      <w:color w:val="000000"/>
                    </w:rPr>
                    <w:t>D 2.2 – Country Profile</w:t>
                  </w:r>
                </w:p>
              </w:tc>
            </w:tr>
            <w:tr w:rsidR="00EB6837" w:rsidTr="002D21C7">
              <w:trPr>
                <w:trHeight w:val="110"/>
              </w:trPr>
              <w:tc>
                <w:tcPr>
                  <w:tcW w:w="2263" w:type="dxa"/>
                  <w:tcBorders>
                    <w:top w:val="single" w:sz="4" w:space="0" w:color="auto"/>
                    <w:left w:val="single" w:sz="4" w:space="0" w:color="auto"/>
                    <w:bottom w:val="single" w:sz="4" w:space="0" w:color="auto"/>
                    <w:right w:val="single" w:sz="4" w:space="0" w:color="auto"/>
                  </w:tcBorders>
                  <w:hideMark/>
                </w:tcPr>
                <w:p w:rsidR="00EB6837" w:rsidRDefault="00EB6837" w:rsidP="002D21C7">
                  <w:pPr>
                    <w:autoSpaceDE w:val="0"/>
                    <w:autoSpaceDN w:val="0"/>
                    <w:adjustRightInd w:val="0"/>
                    <w:rPr>
                      <w:rFonts w:ascii="Calibri" w:hAnsi="Calibri" w:cs="Calibri"/>
                      <w:color w:val="000000"/>
                    </w:rPr>
                  </w:pPr>
                  <w:r>
                    <w:rPr>
                      <w:rFonts w:ascii="Calibri" w:hAnsi="Calibri" w:cs="Calibri"/>
                      <w:b/>
                      <w:bCs/>
                      <w:color w:val="000000"/>
                    </w:rPr>
                    <w:t xml:space="preserve">Nature </w:t>
                  </w:r>
                </w:p>
              </w:tc>
              <w:tc>
                <w:tcPr>
                  <w:tcW w:w="6723" w:type="dxa"/>
                  <w:tcBorders>
                    <w:top w:val="single" w:sz="4" w:space="0" w:color="auto"/>
                    <w:left w:val="single" w:sz="4" w:space="0" w:color="auto"/>
                    <w:bottom w:val="single" w:sz="4" w:space="0" w:color="auto"/>
                    <w:right w:val="single" w:sz="4" w:space="0" w:color="auto"/>
                  </w:tcBorders>
                  <w:hideMark/>
                </w:tcPr>
                <w:p w:rsidR="00EB6837" w:rsidRDefault="00EB6837" w:rsidP="002D21C7">
                  <w:pPr>
                    <w:autoSpaceDE w:val="0"/>
                    <w:autoSpaceDN w:val="0"/>
                    <w:adjustRightInd w:val="0"/>
                    <w:rPr>
                      <w:rFonts w:ascii="Calibri" w:hAnsi="Calibri" w:cs="Calibri"/>
                      <w:color w:val="000000"/>
                    </w:rPr>
                  </w:pPr>
                  <w:r>
                    <w:rPr>
                      <w:rFonts w:ascii="Calibri" w:hAnsi="Calibri" w:cs="Calibri"/>
                      <w:color w:val="000000"/>
                    </w:rPr>
                    <w:t xml:space="preserve">R (Report) </w:t>
                  </w:r>
                </w:p>
              </w:tc>
            </w:tr>
            <w:tr w:rsidR="00EB6837" w:rsidRPr="00904792" w:rsidTr="002D21C7">
              <w:trPr>
                <w:trHeight w:val="483"/>
              </w:trPr>
              <w:tc>
                <w:tcPr>
                  <w:tcW w:w="2263" w:type="dxa"/>
                  <w:tcBorders>
                    <w:top w:val="single" w:sz="4" w:space="0" w:color="auto"/>
                    <w:left w:val="single" w:sz="4" w:space="0" w:color="auto"/>
                    <w:bottom w:val="single" w:sz="4" w:space="0" w:color="auto"/>
                    <w:right w:val="single" w:sz="4" w:space="0" w:color="auto"/>
                  </w:tcBorders>
                  <w:hideMark/>
                </w:tcPr>
                <w:p w:rsidR="00EB6837" w:rsidRDefault="00EB6837" w:rsidP="002D21C7">
                  <w:pPr>
                    <w:autoSpaceDE w:val="0"/>
                    <w:autoSpaceDN w:val="0"/>
                    <w:adjustRightInd w:val="0"/>
                    <w:rPr>
                      <w:rFonts w:ascii="Calibri" w:hAnsi="Calibri" w:cs="Calibri"/>
                      <w:color w:val="000000"/>
                    </w:rPr>
                  </w:pPr>
                  <w:r>
                    <w:rPr>
                      <w:rFonts w:ascii="Calibri" w:hAnsi="Calibri" w:cs="Calibri"/>
                      <w:b/>
                      <w:bCs/>
                      <w:color w:val="000000"/>
                    </w:rPr>
                    <w:t xml:space="preserve">Dissemination Level </w:t>
                  </w:r>
                </w:p>
              </w:tc>
              <w:tc>
                <w:tcPr>
                  <w:tcW w:w="6723" w:type="dxa"/>
                  <w:tcBorders>
                    <w:top w:val="single" w:sz="4" w:space="0" w:color="auto"/>
                    <w:left w:val="single" w:sz="4" w:space="0" w:color="auto"/>
                    <w:bottom w:val="single" w:sz="4" w:space="0" w:color="auto"/>
                    <w:right w:val="single" w:sz="4" w:space="0" w:color="auto"/>
                  </w:tcBorders>
                  <w:hideMark/>
                </w:tcPr>
                <w:p w:rsidR="00EB6837" w:rsidRPr="00213123" w:rsidRDefault="00EB6837" w:rsidP="002D21C7">
                  <w:pPr>
                    <w:autoSpaceDE w:val="0"/>
                    <w:autoSpaceDN w:val="0"/>
                    <w:adjustRightInd w:val="0"/>
                    <w:rPr>
                      <w:rFonts w:ascii="Calibri" w:hAnsi="Calibri" w:cs="Calibri"/>
                      <w:color w:val="000000"/>
                    </w:rPr>
                  </w:pPr>
                  <w:r>
                    <w:rPr>
                      <w:rFonts w:ascii="Calibri" w:hAnsi="Calibri" w:cs="Calibri"/>
                      <w:color w:val="000000"/>
                    </w:rPr>
                    <w:t>PU – Public</w:t>
                  </w:r>
                </w:p>
              </w:tc>
            </w:tr>
            <w:tr w:rsidR="00EB6837" w:rsidTr="002D21C7">
              <w:trPr>
                <w:trHeight w:val="110"/>
              </w:trPr>
              <w:tc>
                <w:tcPr>
                  <w:tcW w:w="2263" w:type="dxa"/>
                  <w:tcBorders>
                    <w:top w:val="single" w:sz="4" w:space="0" w:color="auto"/>
                    <w:left w:val="single" w:sz="4" w:space="0" w:color="auto"/>
                    <w:bottom w:val="single" w:sz="4" w:space="0" w:color="auto"/>
                    <w:right w:val="single" w:sz="4" w:space="0" w:color="auto"/>
                  </w:tcBorders>
                  <w:hideMark/>
                </w:tcPr>
                <w:p w:rsidR="00EB6837" w:rsidRDefault="00EB6837" w:rsidP="002D21C7">
                  <w:pPr>
                    <w:autoSpaceDE w:val="0"/>
                    <w:autoSpaceDN w:val="0"/>
                    <w:adjustRightInd w:val="0"/>
                    <w:rPr>
                      <w:rFonts w:ascii="Calibri" w:hAnsi="Calibri" w:cs="Calibri"/>
                      <w:color w:val="000000"/>
                    </w:rPr>
                  </w:pPr>
                  <w:r>
                    <w:rPr>
                      <w:rFonts w:ascii="Calibri" w:hAnsi="Calibri" w:cs="Calibri"/>
                      <w:b/>
                      <w:bCs/>
                      <w:color w:val="000000"/>
                    </w:rPr>
                    <w:t xml:space="preserve">Document version </w:t>
                  </w:r>
                </w:p>
              </w:tc>
              <w:tc>
                <w:tcPr>
                  <w:tcW w:w="6723" w:type="dxa"/>
                  <w:tcBorders>
                    <w:top w:val="single" w:sz="4" w:space="0" w:color="auto"/>
                    <w:left w:val="single" w:sz="4" w:space="0" w:color="auto"/>
                    <w:bottom w:val="single" w:sz="4" w:space="0" w:color="auto"/>
                    <w:right w:val="single" w:sz="4" w:space="0" w:color="auto"/>
                  </w:tcBorders>
                  <w:hideMark/>
                </w:tcPr>
                <w:p w:rsidR="00EB6837" w:rsidRDefault="00EB6837" w:rsidP="002D21C7">
                  <w:pPr>
                    <w:autoSpaceDE w:val="0"/>
                    <w:autoSpaceDN w:val="0"/>
                    <w:adjustRightInd w:val="0"/>
                    <w:rPr>
                      <w:rFonts w:ascii="Calibri" w:hAnsi="Calibri" w:cs="Calibri"/>
                      <w:color w:val="000000"/>
                    </w:rPr>
                  </w:pPr>
                  <w:r>
                    <w:rPr>
                      <w:rFonts w:ascii="Calibri" w:hAnsi="Calibri" w:cs="Calibri"/>
                      <w:color w:val="000000"/>
                    </w:rPr>
                    <w:t>01</w:t>
                  </w:r>
                </w:p>
              </w:tc>
            </w:tr>
            <w:tr w:rsidR="00EB6837" w:rsidTr="002D21C7">
              <w:trPr>
                <w:trHeight w:val="110"/>
              </w:trPr>
              <w:tc>
                <w:tcPr>
                  <w:tcW w:w="2263" w:type="dxa"/>
                  <w:tcBorders>
                    <w:top w:val="single" w:sz="4" w:space="0" w:color="auto"/>
                    <w:left w:val="single" w:sz="4" w:space="0" w:color="auto"/>
                    <w:bottom w:val="single" w:sz="4" w:space="0" w:color="auto"/>
                    <w:right w:val="single" w:sz="4" w:space="0" w:color="auto"/>
                  </w:tcBorders>
                  <w:hideMark/>
                </w:tcPr>
                <w:p w:rsidR="00EB6837" w:rsidRDefault="00EB6837" w:rsidP="002D21C7">
                  <w:pPr>
                    <w:autoSpaceDE w:val="0"/>
                    <w:autoSpaceDN w:val="0"/>
                    <w:adjustRightInd w:val="0"/>
                    <w:rPr>
                      <w:rFonts w:ascii="Calibri" w:hAnsi="Calibri" w:cs="Calibri"/>
                      <w:color w:val="000000"/>
                    </w:rPr>
                  </w:pPr>
                  <w:r>
                    <w:rPr>
                      <w:rFonts w:ascii="Calibri" w:hAnsi="Calibri" w:cs="Calibri"/>
                      <w:b/>
                      <w:bCs/>
                      <w:color w:val="000000"/>
                    </w:rPr>
                    <w:t xml:space="preserve">Date </w:t>
                  </w:r>
                </w:p>
              </w:tc>
              <w:tc>
                <w:tcPr>
                  <w:tcW w:w="6723" w:type="dxa"/>
                  <w:tcBorders>
                    <w:top w:val="single" w:sz="4" w:space="0" w:color="auto"/>
                    <w:left w:val="single" w:sz="4" w:space="0" w:color="auto"/>
                    <w:bottom w:val="single" w:sz="4" w:space="0" w:color="auto"/>
                    <w:right w:val="single" w:sz="4" w:space="0" w:color="auto"/>
                  </w:tcBorders>
                  <w:hideMark/>
                </w:tcPr>
                <w:p w:rsidR="00EB6837" w:rsidRDefault="00EB6837" w:rsidP="002D21C7">
                  <w:pPr>
                    <w:autoSpaceDE w:val="0"/>
                    <w:autoSpaceDN w:val="0"/>
                    <w:adjustRightInd w:val="0"/>
                    <w:rPr>
                      <w:rFonts w:ascii="Calibri" w:hAnsi="Calibri" w:cs="Calibri"/>
                      <w:color w:val="000000"/>
                    </w:rPr>
                  </w:pPr>
                  <w:r>
                    <w:rPr>
                      <w:rFonts w:ascii="Calibri" w:hAnsi="Calibri" w:cs="Calibri"/>
                      <w:color w:val="000000"/>
                    </w:rPr>
                    <w:t xml:space="preserve">02/02/2015 </w:t>
                  </w:r>
                </w:p>
              </w:tc>
            </w:tr>
            <w:tr w:rsidR="00EB6837" w:rsidRPr="00293A01" w:rsidTr="002D21C7">
              <w:trPr>
                <w:trHeight w:val="110"/>
              </w:trPr>
              <w:tc>
                <w:tcPr>
                  <w:tcW w:w="2263" w:type="dxa"/>
                  <w:tcBorders>
                    <w:top w:val="single" w:sz="4" w:space="0" w:color="auto"/>
                    <w:left w:val="single" w:sz="4" w:space="0" w:color="auto"/>
                    <w:bottom w:val="single" w:sz="4" w:space="0" w:color="auto"/>
                    <w:right w:val="single" w:sz="4" w:space="0" w:color="auto"/>
                  </w:tcBorders>
                  <w:hideMark/>
                </w:tcPr>
                <w:p w:rsidR="00EB6837" w:rsidRDefault="00EB6837" w:rsidP="002D21C7">
                  <w:pPr>
                    <w:autoSpaceDE w:val="0"/>
                    <w:autoSpaceDN w:val="0"/>
                    <w:adjustRightInd w:val="0"/>
                    <w:rPr>
                      <w:rFonts w:ascii="Calibri" w:hAnsi="Calibri" w:cs="Calibri"/>
                      <w:color w:val="000000"/>
                    </w:rPr>
                  </w:pPr>
                  <w:r>
                    <w:rPr>
                      <w:rFonts w:ascii="Calibri" w:hAnsi="Calibri" w:cs="Calibri"/>
                      <w:b/>
                      <w:bCs/>
                      <w:color w:val="000000"/>
                    </w:rPr>
                    <w:t xml:space="preserve">Partner </w:t>
                  </w:r>
                </w:p>
              </w:tc>
              <w:tc>
                <w:tcPr>
                  <w:tcW w:w="6723" w:type="dxa"/>
                  <w:tcBorders>
                    <w:top w:val="single" w:sz="4" w:space="0" w:color="auto"/>
                    <w:left w:val="single" w:sz="4" w:space="0" w:color="auto"/>
                    <w:bottom w:val="single" w:sz="4" w:space="0" w:color="auto"/>
                    <w:right w:val="single" w:sz="4" w:space="0" w:color="auto"/>
                  </w:tcBorders>
                  <w:hideMark/>
                </w:tcPr>
                <w:p w:rsidR="00EB6837" w:rsidRDefault="00EB6837" w:rsidP="002D21C7">
                  <w:pPr>
                    <w:autoSpaceDE w:val="0"/>
                    <w:autoSpaceDN w:val="0"/>
                    <w:adjustRightInd w:val="0"/>
                    <w:rPr>
                      <w:rFonts w:ascii="Calibri" w:hAnsi="Calibri" w:cs="Calibri"/>
                      <w:color w:val="000000"/>
                      <w:lang w:val="de-DE"/>
                    </w:rPr>
                  </w:pPr>
                  <w:r w:rsidRPr="00293A01">
                    <w:rPr>
                      <w:rFonts w:ascii="Calibri" w:hAnsi="Calibri" w:cs="Calibri"/>
                      <w:color w:val="000000"/>
                      <w:lang w:val="de-DE"/>
                    </w:rPr>
                    <w:t>P</w:t>
                  </w:r>
                  <w:r>
                    <w:rPr>
                      <w:rFonts w:ascii="Calibri" w:hAnsi="Calibri" w:cs="Calibri"/>
                      <w:color w:val="000000"/>
                      <w:lang w:val="de-DE"/>
                    </w:rPr>
                    <w:t>7 – Academia Istropolitana Nova (AINova)</w:t>
                  </w:r>
                </w:p>
              </w:tc>
            </w:tr>
          </w:tbl>
          <w:p w:rsidR="00EB6837" w:rsidRPr="00293A01" w:rsidRDefault="00EB6837" w:rsidP="002D21C7">
            <w:pPr>
              <w:spacing w:line="360" w:lineRule="auto"/>
              <w:jc w:val="both"/>
              <w:rPr>
                <w:rFonts w:ascii="Arial" w:hAnsi="Arial" w:cs="Arial"/>
                <w:lang w:val="de-DE"/>
              </w:rPr>
            </w:pPr>
          </w:p>
        </w:tc>
      </w:tr>
    </w:tbl>
    <w:p w:rsidR="00351744" w:rsidRDefault="00351744">
      <w:pPr>
        <w:rPr>
          <w:rFonts w:asciiTheme="minorHAnsi" w:hAnsiTheme="minorHAnsi"/>
          <w:b/>
          <w:color w:val="1F497D" w:themeColor="text2"/>
          <w:sz w:val="32"/>
          <w:lang w:val="en-US"/>
        </w:rPr>
      </w:pPr>
    </w:p>
    <w:p w:rsidR="00655FD5" w:rsidRPr="00302D74" w:rsidRDefault="00302D74" w:rsidP="00D31F73">
      <w:pPr>
        <w:jc w:val="center"/>
        <w:rPr>
          <w:rFonts w:asciiTheme="minorHAnsi" w:hAnsiTheme="minorHAnsi"/>
          <w:b/>
          <w:color w:val="1F497D" w:themeColor="text2"/>
          <w:sz w:val="32"/>
          <w:lang w:val="en-US"/>
        </w:rPr>
      </w:pPr>
      <w:r w:rsidRPr="00302D74">
        <w:rPr>
          <w:rFonts w:asciiTheme="minorHAnsi" w:hAnsiTheme="minorHAnsi"/>
          <w:b/>
          <w:color w:val="1F497D" w:themeColor="text2"/>
          <w:sz w:val="32"/>
          <w:lang w:val="en-US"/>
        </w:rPr>
        <w:t>REGIONAL Country Report Template</w:t>
      </w:r>
    </w:p>
    <w:p w:rsidR="00302D74" w:rsidRPr="00D31F73" w:rsidRDefault="00302D74">
      <w:pPr>
        <w:rPr>
          <w:rFonts w:asciiTheme="minorHAnsi" w:hAnsiTheme="minorHAnsi"/>
          <w:b/>
          <w:color w:val="1F497D" w:themeColor="text2"/>
          <w:sz w:val="28"/>
          <w:szCs w:val="28"/>
          <w:lang w:val="en-US"/>
        </w:rPr>
      </w:pPr>
    </w:p>
    <w:sdt>
      <w:sdtPr>
        <w:rPr>
          <w:rFonts w:asciiTheme="minorHAnsi" w:eastAsiaTheme="minorHAnsi" w:hAnsiTheme="minorHAnsi"/>
          <w:b w:val="0"/>
          <w:bCs w:val="0"/>
          <w:color w:val="1F497D" w:themeColor="text2"/>
          <w:sz w:val="24"/>
          <w:szCs w:val="24"/>
          <w:lang w:val="it-IT" w:eastAsia="zh-CN"/>
        </w:rPr>
        <w:id w:val="181622293"/>
        <w:docPartObj>
          <w:docPartGallery w:val="Table of Contents"/>
          <w:docPartUnique/>
        </w:docPartObj>
      </w:sdtPr>
      <w:sdtContent>
        <w:p w:rsidR="00D31F73" w:rsidRPr="00D31F73" w:rsidRDefault="00D31F73">
          <w:pPr>
            <w:pStyle w:val="Hlavikaobsahu"/>
            <w:rPr>
              <w:rFonts w:asciiTheme="minorHAnsi" w:hAnsiTheme="minorHAnsi"/>
              <w:color w:val="1F497D" w:themeColor="text2"/>
            </w:rPr>
          </w:pPr>
          <w:r w:rsidRPr="00D31F73">
            <w:rPr>
              <w:rFonts w:asciiTheme="minorHAnsi" w:hAnsiTheme="minorHAnsi"/>
              <w:color w:val="1F497D" w:themeColor="text2"/>
            </w:rPr>
            <w:t>Contents</w:t>
          </w:r>
        </w:p>
        <w:p w:rsidR="00D31F73" w:rsidRPr="00D31F73" w:rsidRDefault="003E5AC9">
          <w:pPr>
            <w:pStyle w:val="Obsah2"/>
            <w:tabs>
              <w:tab w:val="right" w:leader="dot" w:pos="9350"/>
            </w:tabs>
            <w:rPr>
              <w:rFonts w:asciiTheme="minorHAnsi" w:hAnsiTheme="minorHAnsi"/>
              <w:b/>
              <w:noProof/>
              <w:color w:val="1F497D" w:themeColor="text2"/>
              <w:sz w:val="28"/>
              <w:szCs w:val="28"/>
            </w:rPr>
          </w:pPr>
          <w:r w:rsidRPr="00D31F73">
            <w:rPr>
              <w:rFonts w:asciiTheme="minorHAnsi" w:hAnsiTheme="minorHAnsi"/>
              <w:b/>
              <w:color w:val="1F497D" w:themeColor="text2"/>
              <w:sz w:val="28"/>
              <w:szCs w:val="28"/>
            </w:rPr>
            <w:fldChar w:fldCharType="begin"/>
          </w:r>
          <w:r w:rsidR="00D31F73" w:rsidRPr="00D31F73">
            <w:rPr>
              <w:rFonts w:asciiTheme="minorHAnsi" w:hAnsiTheme="minorHAnsi"/>
              <w:b/>
              <w:color w:val="1F497D" w:themeColor="text2"/>
              <w:sz w:val="28"/>
              <w:szCs w:val="28"/>
            </w:rPr>
            <w:instrText xml:space="preserve"> TOC \o "1-3" \h \z \u </w:instrText>
          </w:r>
          <w:r w:rsidRPr="00D31F73">
            <w:rPr>
              <w:rFonts w:asciiTheme="minorHAnsi" w:hAnsiTheme="minorHAnsi"/>
              <w:b/>
              <w:color w:val="1F497D" w:themeColor="text2"/>
              <w:sz w:val="28"/>
              <w:szCs w:val="28"/>
            </w:rPr>
            <w:fldChar w:fldCharType="separate"/>
          </w:r>
          <w:hyperlink w:anchor="_Toc372035092" w:history="1">
            <w:r w:rsidR="00D31F73" w:rsidRPr="00D31F73">
              <w:rPr>
                <w:rStyle w:val="Hypertextovprepojenie"/>
                <w:rFonts w:asciiTheme="minorHAnsi" w:hAnsiTheme="minorHAnsi"/>
                <w:b/>
                <w:noProof/>
                <w:color w:val="1F497D" w:themeColor="text2"/>
                <w:sz w:val="28"/>
                <w:szCs w:val="28"/>
              </w:rPr>
              <w:t>Executive Summary</w:t>
            </w:r>
            <w:r w:rsidR="00D31F73" w:rsidRPr="00D31F73">
              <w:rPr>
                <w:rFonts w:asciiTheme="minorHAnsi" w:hAnsiTheme="minorHAnsi"/>
                <w:b/>
                <w:noProof/>
                <w:webHidden/>
                <w:color w:val="1F497D" w:themeColor="text2"/>
                <w:sz w:val="28"/>
                <w:szCs w:val="28"/>
              </w:rPr>
              <w:tab/>
            </w:r>
            <w:r w:rsidRPr="00D31F73">
              <w:rPr>
                <w:rFonts w:asciiTheme="minorHAnsi" w:hAnsiTheme="minorHAnsi"/>
                <w:b/>
                <w:noProof/>
                <w:webHidden/>
                <w:color w:val="1F497D" w:themeColor="text2"/>
                <w:sz w:val="28"/>
                <w:szCs w:val="28"/>
              </w:rPr>
              <w:fldChar w:fldCharType="begin"/>
            </w:r>
            <w:r w:rsidR="00D31F73" w:rsidRPr="00D31F73">
              <w:rPr>
                <w:rFonts w:asciiTheme="minorHAnsi" w:hAnsiTheme="minorHAnsi"/>
                <w:b/>
                <w:noProof/>
                <w:webHidden/>
                <w:color w:val="1F497D" w:themeColor="text2"/>
                <w:sz w:val="28"/>
                <w:szCs w:val="28"/>
              </w:rPr>
              <w:instrText xml:space="preserve"> PAGEREF _Toc372035092 \h </w:instrText>
            </w:r>
            <w:r w:rsidRPr="00D31F73">
              <w:rPr>
                <w:rFonts w:asciiTheme="minorHAnsi" w:hAnsiTheme="minorHAnsi"/>
                <w:b/>
                <w:noProof/>
                <w:webHidden/>
                <w:color w:val="1F497D" w:themeColor="text2"/>
                <w:sz w:val="28"/>
                <w:szCs w:val="28"/>
              </w:rPr>
            </w:r>
            <w:r w:rsidRPr="00D31F73">
              <w:rPr>
                <w:rFonts w:asciiTheme="minorHAnsi" w:hAnsiTheme="minorHAnsi"/>
                <w:b/>
                <w:noProof/>
                <w:webHidden/>
                <w:color w:val="1F497D" w:themeColor="text2"/>
                <w:sz w:val="28"/>
                <w:szCs w:val="28"/>
              </w:rPr>
              <w:fldChar w:fldCharType="separate"/>
            </w:r>
            <w:r w:rsidR="004D765E">
              <w:rPr>
                <w:rFonts w:asciiTheme="minorHAnsi" w:hAnsiTheme="minorHAnsi"/>
                <w:b/>
                <w:noProof/>
                <w:webHidden/>
                <w:color w:val="1F497D" w:themeColor="text2"/>
                <w:sz w:val="28"/>
                <w:szCs w:val="28"/>
              </w:rPr>
              <w:t>2</w:t>
            </w:r>
            <w:r w:rsidRPr="00D31F73">
              <w:rPr>
                <w:rFonts w:asciiTheme="minorHAnsi" w:hAnsiTheme="minorHAnsi"/>
                <w:b/>
                <w:noProof/>
                <w:webHidden/>
                <w:color w:val="1F497D" w:themeColor="text2"/>
                <w:sz w:val="28"/>
                <w:szCs w:val="28"/>
              </w:rPr>
              <w:fldChar w:fldCharType="end"/>
            </w:r>
          </w:hyperlink>
        </w:p>
        <w:p w:rsidR="00D31F73" w:rsidRPr="00D31F73" w:rsidRDefault="003E5AC9">
          <w:pPr>
            <w:pStyle w:val="Obsah2"/>
            <w:tabs>
              <w:tab w:val="right" w:leader="dot" w:pos="9350"/>
            </w:tabs>
            <w:rPr>
              <w:rFonts w:asciiTheme="minorHAnsi" w:hAnsiTheme="minorHAnsi"/>
              <w:b/>
              <w:noProof/>
              <w:color w:val="1F497D" w:themeColor="text2"/>
              <w:sz w:val="28"/>
              <w:szCs w:val="28"/>
            </w:rPr>
          </w:pPr>
          <w:hyperlink w:anchor="_Toc372035093" w:history="1">
            <w:r w:rsidR="00D31F73" w:rsidRPr="00D31F73">
              <w:rPr>
                <w:rStyle w:val="Hypertextovprepojenie"/>
                <w:rFonts w:asciiTheme="minorHAnsi" w:hAnsiTheme="minorHAnsi"/>
                <w:b/>
                <w:noProof/>
                <w:color w:val="1F497D" w:themeColor="text2"/>
                <w:sz w:val="28"/>
                <w:szCs w:val="28"/>
              </w:rPr>
              <w:t>Introduction</w:t>
            </w:r>
            <w:r w:rsidR="000F5259">
              <w:rPr>
                <w:rStyle w:val="Hypertextovprepojenie"/>
                <w:rFonts w:asciiTheme="minorHAnsi" w:hAnsiTheme="minorHAnsi"/>
                <w:b/>
                <w:noProof/>
                <w:color w:val="1F497D" w:themeColor="text2"/>
                <w:sz w:val="28"/>
                <w:szCs w:val="28"/>
              </w:rPr>
              <w:t>: REGIONAL Project and Slovakia</w:t>
            </w:r>
            <w:r w:rsidR="00D31F73" w:rsidRPr="00D31F73">
              <w:rPr>
                <w:rFonts w:asciiTheme="minorHAnsi" w:hAnsiTheme="minorHAnsi"/>
                <w:b/>
                <w:noProof/>
                <w:webHidden/>
                <w:color w:val="1F497D" w:themeColor="text2"/>
                <w:sz w:val="28"/>
                <w:szCs w:val="28"/>
              </w:rPr>
              <w:tab/>
            </w:r>
            <w:r w:rsidRPr="00D31F73">
              <w:rPr>
                <w:rFonts w:asciiTheme="minorHAnsi" w:hAnsiTheme="minorHAnsi"/>
                <w:b/>
                <w:noProof/>
                <w:webHidden/>
                <w:color w:val="1F497D" w:themeColor="text2"/>
                <w:sz w:val="28"/>
                <w:szCs w:val="28"/>
              </w:rPr>
              <w:fldChar w:fldCharType="begin"/>
            </w:r>
            <w:r w:rsidR="00D31F73" w:rsidRPr="00D31F73">
              <w:rPr>
                <w:rFonts w:asciiTheme="minorHAnsi" w:hAnsiTheme="minorHAnsi"/>
                <w:b/>
                <w:noProof/>
                <w:webHidden/>
                <w:color w:val="1F497D" w:themeColor="text2"/>
                <w:sz w:val="28"/>
                <w:szCs w:val="28"/>
              </w:rPr>
              <w:instrText xml:space="preserve"> PAGEREF _Toc372035093 \h </w:instrText>
            </w:r>
            <w:r w:rsidRPr="00D31F73">
              <w:rPr>
                <w:rFonts w:asciiTheme="minorHAnsi" w:hAnsiTheme="minorHAnsi"/>
                <w:b/>
                <w:noProof/>
                <w:webHidden/>
                <w:color w:val="1F497D" w:themeColor="text2"/>
                <w:sz w:val="28"/>
                <w:szCs w:val="28"/>
              </w:rPr>
            </w:r>
            <w:r w:rsidRPr="00D31F73">
              <w:rPr>
                <w:rFonts w:asciiTheme="minorHAnsi" w:hAnsiTheme="minorHAnsi"/>
                <w:b/>
                <w:noProof/>
                <w:webHidden/>
                <w:color w:val="1F497D" w:themeColor="text2"/>
                <w:sz w:val="28"/>
                <w:szCs w:val="28"/>
              </w:rPr>
              <w:fldChar w:fldCharType="separate"/>
            </w:r>
            <w:r w:rsidR="004D765E">
              <w:rPr>
                <w:rFonts w:asciiTheme="minorHAnsi" w:hAnsiTheme="minorHAnsi"/>
                <w:b/>
                <w:noProof/>
                <w:webHidden/>
                <w:color w:val="1F497D" w:themeColor="text2"/>
                <w:sz w:val="28"/>
                <w:szCs w:val="28"/>
              </w:rPr>
              <w:t>2</w:t>
            </w:r>
            <w:r w:rsidRPr="00D31F73">
              <w:rPr>
                <w:rFonts w:asciiTheme="minorHAnsi" w:hAnsiTheme="minorHAnsi"/>
                <w:b/>
                <w:noProof/>
                <w:webHidden/>
                <w:color w:val="1F497D" w:themeColor="text2"/>
                <w:sz w:val="28"/>
                <w:szCs w:val="28"/>
              </w:rPr>
              <w:fldChar w:fldCharType="end"/>
            </w:r>
          </w:hyperlink>
        </w:p>
        <w:p w:rsidR="00D31F73" w:rsidRPr="00D31F73" w:rsidRDefault="003E5AC9">
          <w:pPr>
            <w:pStyle w:val="Obsah2"/>
            <w:tabs>
              <w:tab w:val="right" w:leader="dot" w:pos="9350"/>
            </w:tabs>
            <w:rPr>
              <w:rFonts w:asciiTheme="minorHAnsi" w:hAnsiTheme="minorHAnsi"/>
              <w:b/>
              <w:noProof/>
              <w:color w:val="1F497D" w:themeColor="text2"/>
              <w:sz w:val="28"/>
              <w:szCs w:val="28"/>
            </w:rPr>
          </w:pPr>
          <w:hyperlink w:anchor="_Toc372035094" w:history="1">
            <w:r w:rsidR="00D31F73" w:rsidRPr="00D31F73">
              <w:rPr>
                <w:rStyle w:val="Hypertextovprepojenie"/>
                <w:rFonts w:asciiTheme="minorHAnsi" w:hAnsiTheme="minorHAnsi"/>
                <w:b/>
                <w:noProof/>
                <w:color w:val="1F497D" w:themeColor="text2"/>
                <w:sz w:val="28"/>
                <w:szCs w:val="28"/>
              </w:rPr>
              <w:t>Policy Formulation</w:t>
            </w:r>
            <w:r w:rsidR="00D31F73" w:rsidRPr="00D31F73">
              <w:rPr>
                <w:rFonts w:asciiTheme="minorHAnsi" w:hAnsiTheme="minorHAnsi"/>
                <w:b/>
                <w:noProof/>
                <w:webHidden/>
                <w:color w:val="1F497D" w:themeColor="text2"/>
                <w:sz w:val="28"/>
                <w:szCs w:val="28"/>
              </w:rPr>
              <w:tab/>
            </w:r>
            <w:r w:rsidRPr="00D31F73">
              <w:rPr>
                <w:rFonts w:asciiTheme="minorHAnsi" w:hAnsiTheme="minorHAnsi"/>
                <w:b/>
                <w:noProof/>
                <w:webHidden/>
                <w:color w:val="1F497D" w:themeColor="text2"/>
                <w:sz w:val="28"/>
                <w:szCs w:val="28"/>
              </w:rPr>
              <w:fldChar w:fldCharType="begin"/>
            </w:r>
            <w:r w:rsidR="00D31F73" w:rsidRPr="00D31F73">
              <w:rPr>
                <w:rFonts w:asciiTheme="minorHAnsi" w:hAnsiTheme="minorHAnsi"/>
                <w:b/>
                <w:noProof/>
                <w:webHidden/>
                <w:color w:val="1F497D" w:themeColor="text2"/>
                <w:sz w:val="28"/>
                <w:szCs w:val="28"/>
              </w:rPr>
              <w:instrText xml:space="preserve"> PAGEREF _Toc372035094 \h </w:instrText>
            </w:r>
            <w:r w:rsidRPr="00D31F73">
              <w:rPr>
                <w:rFonts w:asciiTheme="minorHAnsi" w:hAnsiTheme="minorHAnsi"/>
                <w:b/>
                <w:noProof/>
                <w:webHidden/>
                <w:color w:val="1F497D" w:themeColor="text2"/>
                <w:sz w:val="28"/>
                <w:szCs w:val="28"/>
              </w:rPr>
            </w:r>
            <w:r w:rsidRPr="00D31F73">
              <w:rPr>
                <w:rFonts w:asciiTheme="minorHAnsi" w:hAnsiTheme="minorHAnsi"/>
                <w:b/>
                <w:noProof/>
                <w:webHidden/>
                <w:color w:val="1F497D" w:themeColor="text2"/>
                <w:sz w:val="28"/>
                <w:szCs w:val="28"/>
              </w:rPr>
              <w:fldChar w:fldCharType="separate"/>
            </w:r>
            <w:r w:rsidR="004D765E">
              <w:rPr>
                <w:rFonts w:asciiTheme="minorHAnsi" w:hAnsiTheme="minorHAnsi"/>
                <w:b/>
                <w:noProof/>
                <w:webHidden/>
                <w:color w:val="1F497D" w:themeColor="text2"/>
                <w:sz w:val="28"/>
                <w:szCs w:val="28"/>
              </w:rPr>
              <w:t>6</w:t>
            </w:r>
            <w:r w:rsidRPr="00D31F73">
              <w:rPr>
                <w:rFonts w:asciiTheme="minorHAnsi" w:hAnsiTheme="minorHAnsi"/>
                <w:b/>
                <w:noProof/>
                <w:webHidden/>
                <w:color w:val="1F497D" w:themeColor="text2"/>
                <w:sz w:val="28"/>
                <w:szCs w:val="28"/>
              </w:rPr>
              <w:fldChar w:fldCharType="end"/>
            </w:r>
          </w:hyperlink>
        </w:p>
        <w:p w:rsidR="00D31F73" w:rsidRPr="00D31F73" w:rsidRDefault="003E5AC9">
          <w:pPr>
            <w:pStyle w:val="Obsah2"/>
            <w:tabs>
              <w:tab w:val="right" w:leader="dot" w:pos="9350"/>
            </w:tabs>
            <w:rPr>
              <w:rFonts w:asciiTheme="minorHAnsi" w:hAnsiTheme="minorHAnsi"/>
              <w:b/>
              <w:noProof/>
              <w:color w:val="1F497D" w:themeColor="text2"/>
              <w:sz w:val="28"/>
              <w:szCs w:val="28"/>
            </w:rPr>
          </w:pPr>
          <w:hyperlink w:anchor="_Toc372035095" w:history="1">
            <w:r w:rsidR="00D31F73" w:rsidRPr="00D31F73">
              <w:rPr>
                <w:rStyle w:val="Hypertextovprepojenie"/>
                <w:rFonts w:asciiTheme="minorHAnsi" w:hAnsiTheme="minorHAnsi"/>
                <w:b/>
                <w:noProof/>
                <w:color w:val="1F497D" w:themeColor="text2"/>
                <w:sz w:val="28"/>
                <w:szCs w:val="28"/>
              </w:rPr>
              <w:t>Policy Implementation</w:t>
            </w:r>
            <w:r w:rsidR="00D31F73" w:rsidRPr="00D31F73">
              <w:rPr>
                <w:rFonts w:asciiTheme="minorHAnsi" w:hAnsiTheme="minorHAnsi"/>
                <w:b/>
                <w:noProof/>
                <w:webHidden/>
                <w:color w:val="1F497D" w:themeColor="text2"/>
                <w:sz w:val="28"/>
                <w:szCs w:val="28"/>
              </w:rPr>
              <w:tab/>
            </w:r>
            <w:r w:rsidRPr="00D31F73">
              <w:rPr>
                <w:rFonts w:asciiTheme="minorHAnsi" w:hAnsiTheme="minorHAnsi"/>
                <w:b/>
                <w:noProof/>
                <w:webHidden/>
                <w:color w:val="1F497D" w:themeColor="text2"/>
                <w:sz w:val="28"/>
                <w:szCs w:val="28"/>
              </w:rPr>
              <w:fldChar w:fldCharType="begin"/>
            </w:r>
            <w:r w:rsidR="00D31F73" w:rsidRPr="00D31F73">
              <w:rPr>
                <w:rFonts w:asciiTheme="minorHAnsi" w:hAnsiTheme="minorHAnsi"/>
                <w:b/>
                <w:noProof/>
                <w:webHidden/>
                <w:color w:val="1F497D" w:themeColor="text2"/>
                <w:sz w:val="28"/>
                <w:szCs w:val="28"/>
              </w:rPr>
              <w:instrText xml:space="preserve"> PAGEREF _Toc372035095 \h </w:instrText>
            </w:r>
            <w:r w:rsidRPr="00D31F73">
              <w:rPr>
                <w:rFonts w:asciiTheme="minorHAnsi" w:hAnsiTheme="minorHAnsi"/>
                <w:b/>
                <w:noProof/>
                <w:webHidden/>
                <w:color w:val="1F497D" w:themeColor="text2"/>
                <w:sz w:val="28"/>
                <w:szCs w:val="28"/>
              </w:rPr>
            </w:r>
            <w:r w:rsidRPr="00D31F73">
              <w:rPr>
                <w:rFonts w:asciiTheme="minorHAnsi" w:hAnsiTheme="minorHAnsi"/>
                <w:b/>
                <w:noProof/>
                <w:webHidden/>
                <w:color w:val="1F497D" w:themeColor="text2"/>
                <w:sz w:val="28"/>
                <w:szCs w:val="28"/>
              </w:rPr>
              <w:fldChar w:fldCharType="separate"/>
            </w:r>
            <w:r w:rsidR="004D765E">
              <w:rPr>
                <w:rFonts w:asciiTheme="minorHAnsi" w:hAnsiTheme="minorHAnsi"/>
                <w:b/>
                <w:noProof/>
                <w:webHidden/>
                <w:color w:val="1F497D" w:themeColor="text2"/>
                <w:sz w:val="28"/>
                <w:szCs w:val="28"/>
              </w:rPr>
              <w:t>8</w:t>
            </w:r>
            <w:r w:rsidRPr="00D31F73">
              <w:rPr>
                <w:rFonts w:asciiTheme="minorHAnsi" w:hAnsiTheme="minorHAnsi"/>
                <w:b/>
                <w:noProof/>
                <w:webHidden/>
                <w:color w:val="1F497D" w:themeColor="text2"/>
                <w:sz w:val="28"/>
                <w:szCs w:val="28"/>
              </w:rPr>
              <w:fldChar w:fldCharType="end"/>
            </w:r>
          </w:hyperlink>
        </w:p>
        <w:p w:rsidR="00D31F73" w:rsidRPr="00D31F73" w:rsidRDefault="003E5AC9">
          <w:pPr>
            <w:pStyle w:val="Obsah2"/>
            <w:tabs>
              <w:tab w:val="right" w:leader="dot" w:pos="9350"/>
            </w:tabs>
            <w:rPr>
              <w:rFonts w:asciiTheme="minorHAnsi" w:hAnsiTheme="minorHAnsi"/>
              <w:b/>
              <w:noProof/>
              <w:color w:val="1F497D" w:themeColor="text2"/>
              <w:sz w:val="28"/>
              <w:szCs w:val="28"/>
            </w:rPr>
          </w:pPr>
          <w:hyperlink w:anchor="_Toc372035096" w:history="1">
            <w:r w:rsidR="00D31F73" w:rsidRPr="00D31F73">
              <w:rPr>
                <w:rStyle w:val="Hypertextovprepojenie"/>
                <w:rFonts w:asciiTheme="minorHAnsi" w:hAnsiTheme="minorHAnsi"/>
                <w:b/>
                <w:noProof/>
                <w:color w:val="1F497D" w:themeColor="text2"/>
                <w:sz w:val="28"/>
                <w:szCs w:val="28"/>
              </w:rPr>
              <w:t>AL Funding</w:t>
            </w:r>
            <w:r w:rsidR="00D31F73" w:rsidRPr="00D31F73">
              <w:rPr>
                <w:rFonts w:asciiTheme="minorHAnsi" w:hAnsiTheme="minorHAnsi"/>
                <w:b/>
                <w:noProof/>
                <w:webHidden/>
                <w:color w:val="1F497D" w:themeColor="text2"/>
                <w:sz w:val="28"/>
                <w:szCs w:val="28"/>
              </w:rPr>
              <w:tab/>
            </w:r>
            <w:r w:rsidRPr="00D31F73">
              <w:rPr>
                <w:rFonts w:asciiTheme="minorHAnsi" w:hAnsiTheme="minorHAnsi"/>
                <w:b/>
                <w:noProof/>
                <w:webHidden/>
                <w:color w:val="1F497D" w:themeColor="text2"/>
                <w:sz w:val="28"/>
                <w:szCs w:val="28"/>
              </w:rPr>
              <w:fldChar w:fldCharType="begin"/>
            </w:r>
            <w:r w:rsidR="00D31F73" w:rsidRPr="00D31F73">
              <w:rPr>
                <w:rFonts w:asciiTheme="minorHAnsi" w:hAnsiTheme="minorHAnsi"/>
                <w:b/>
                <w:noProof/>
                <w:webHidden/>
                <w:color w:val="1F497D" w:themeColor="text2"/>
                <w:sz w:val="28"/>
                <w:szCs w:val="28"/>
              </w:rPr>
              <w:instrText xml:space="preserve"> PAGEREF _Toc372035096 \h </w:instrText>
            </w:r>
            <w:r w:rsidRPr="00D31F73">
              <w:rPr>
                <w:rFonts w:asciiTheme="minorHAnsi" w:hAnsiTheme="minorHAnsi"/>
                <w:b/>
                <w:noProof/>
                <w:webHidden/>
                <w:color w:val="1F497D" w:themeColor="text2"/>
                <w:sz w:val="28"/>
                <w:szCs w:val="28"/>
              </w:rPr>
            </w:r>
            <w:r w:rsidRPr="00D31F73">
              <w:rPr>
                <w:rFonts w:asciiTheme="minorHAnsi" w:hAnsiTheme="minorHAnsi"/>
                <w:b/>
                <w:noProof/>
                <w:webHidden/>
                <w:color w:val="1F497D" w:themeColor="text2"/>
                <w:sz w:val="28"/>
                <w:szCs w:val="28"/>
              </w:rPr>
              <w:fldChar w:fldCharType="separate"/>
            </w:r>
            <w:r w:rsidR="004D765E">
              <w:rPr>
                <w:rFonts w:asciiTheme="minorHAnsi" w:hAnsiTheme="minorHAnsi"/>
                <w:b/>
                <w:noProof/>
                <w:webHidden/>
                <w:color w:val="1F497D" w:themeColor="text2"/>
                <w:sz w:val="28"/>
                <w:szCs w:val="28"/>
              </w:rPr>
              <w:t>8</w:t>
            </w:r>
            <w:r w:rsidRPr="00D31F73">
              <w:rPr>
                <w:rFonts w:asciiTheme="minorHAnsi" w:hAnsiTheme="minorHAnsi"/>
                <w:b/>
                <w:noProof/>
                <w:webHidden/>
                <w:color w:val="1F497D" w:themeColor="text2"/>
                <w:sz w:val="28"/>
                <w:szCs w:val="28"/>
              </w:rPr>
              <w:fldChar w:fldCharType="end"/>
            </w:r>
          </w:hyperlink>
        </w:p>
        <w:p w:rsidR="00D31F73" w:rsidRPr="00D31F73" w:rsidRDefault="003E5AC9">
          <w:pPr>
            <w:pStyle w:val="Obsah2"/>
            <w:tabs>
              <w:tab w:val="right" w:leader="dot" w:pos="9350"/>
            </w:tabs>
            <w:rPr>
              <w:rFonts w:asciiTheme="minorHAnsi" w:hAnsiTheme="minorHAnsi"/>
              <w:b/>
              <w:noProof/>
              <w:color w:val="1F497D" w:themeColor="text2"/>
              <w:sz w:val="28"/>
              <w:szCs w:val="28"/>
            </w:rPr>
          </w:pPr>
          <w:hyperlink w:anchor="_Toc372035097" w:history="1">
            <w:r w:rsidR="00D31F73" w:rsidRPr="00D31F73">
              <w:rPr>
                <w:rStyle w:val="Hypertextovprepojenie"/>
                <w:rFonts w:asciiTheme="minorHAnsi" w:hAnsiTheme="minorHAnsi"/>
                <w:b/>
                <w:noProof/>
                <w:color w:val="1F497D" w:themeColor="text2"/>
                <w:sz w:val="28"/>
                <w:szCs w:val="28"/>
              </w:rPr>
              <w:t>Key findings</w:t>
            </w:r>
            <w:r w:rsidR="00D31F73" w:rsidRPr="00D31F73">
              <w:rPr>
                <w:rFonts w:asciiTheme="minorHAnsi" w:hAnsiTheme="minorHAnsi"/>
                <w:b/>
                <w:noProof/>
                <w:webHidden/>
                <w:color w:val="1F497D" w:themeColor="text2"/>
                <w:sz w:val="28"/>
                <w:szCs w:val="28"/>
              </w:rPr>
              <w:tab/>
            </w:r>
            <w:r w:rsidRPr="00D31F73">
              <w:rPr>
                <w:rFonts w:asciiTheme="minorHAnsi" w:hAnsiTheme="minorHAnsi"/>
                <w:b/>
                <w:noProof/>
                <w:webHidden/>
                <w:color w:val="1F497D" w:themeColor="text2"/>
                <w:sz w:val="28"/>
                <w:szCs w:val="28"/>
              </w:rPr>
              <w:fldChar w:fldCharType="begin"/>
            </w:r>
            <w:r w:rsidR="00D31F73" w:rsidRPr="00D31F73">
              <w:rPr>
                <w:rFonts w:asciiTheme="minorHAnsi" w:hAnsiTheme="minorHAnsi"/>
                <w:b/>
                <w:noProof/>
                <w:webHidden/>
                <w:color w:val="1F497D" w:themeColor="text2"/>
                <w:sz w:val="28"/>
                <w:szCs w:val="28"/>
              </w:rPr>
              <w:instrText xml:space="preserve"> PAGEREF _Toc372035097 \h </w:instrText>
            </w:r>
            <w:r w:rsidRPr="00D31F73">
              <w:rPr>
                <w:rFonts w:asciiTheme="minorHAnsi" w:hAnsiTheme="minorHAnsi"/>
                <w:b/>
                <w:noProof/>
                <w:webHidden/>
                <w:color w:val="1F497D" w:themeColor="text2"/>
                <w:sz w:val="28"/>
                <w:szCs w:val="28"/>
              </w:rPr>
            </w:r>
            <w:r w:rsidRPr="00D31F73">
              <w:rPr>
                <w:rFonts w:asciiTheme="minorHAnsi" w:hAnsiTheme="minorHAnsi"/>
                <w:b/>
                <w:noProof/>
                <w:webHidden/>
                <w:color w:val="1F497D" w:themeColor="text2"/>
                <w:sz w:val="28"/>
                <w:szCs w:val="28"/>
              </w:rPr>
              <w:fldChar w:fldCharType="separate"/>
            </w:r>
            <w:r w:rsidR="004D765E">
              <w:rPr>
                <w:rFonts w:asciiTheme="minorHAnsi" w:hAnsiTheme="minorHAnsi"/>
                <w:b/>
                <w:noProof/>
                <w:webHidden/>
                <w:color w:val="1F497D" w:themeColor="text2"/>
                <w:sz w:val="28"/>
                <w:szCs w:val="28"/>
              </w:rPr>
              <w:t>10</w:t>
            </w:r>
            <w:r w:rsidRPr="00D31F73">
              <w:rPr>
                <w:rFonts w:asciiTheme="minorHAnsi" w:hAnsiTheme="minorHAnsi"/>
                <w:b/>
                <w:noProof/>
                <w:webHidden/>
                <w:color w:val="1F497D" w:themeColor="text2"/>
                <w:sz w:val="28"/>
                <w:szCs w:val="28"/>
              </w:rPr>
              <w:fldChar w:fldCharType="end"/>
            </w:r>
          </w:hyperlink>
        </w:p>
        <w:p w:rsidR="00D31F73" w:rsidRPr="00D31F73" w:rsidRDefault="003E5AC9">
          <w:pPr>
            <w:pStyle w:val="Obsah2"/>
            <w:tabs>
              <w:tab w:val="right" w:leader="dot" w:pos="9350"/>
            </w:tabs>
            <w:rPr>
              <w:rFonts w:asciiTheme="minorHAnsi" w:hAnsiTheme="minorHAnsi"/>
              <w:b/>
              <w:noProof/>
              <w:color w:val="1F497D" w:themeColor="text2"/>
              <w:sz w:val="28"/>
              <w:szCs w:val="28"/>
            </w:rPr>
          </w:pPr>
          <w:hyperlink w:anchor="_Toc372035098" w:history="1">
            <w:r w:rsidR="00D31F73" w:rsidRPr="00D31F73">
              <w:rPr>
                <w:rStyle w:val="Hypertextovprepojenie"/>
                <w:rFonts w:asciiTheme="minorHAnsi" w:hAnsiTheme="minorHAnsi"/>
                <w:b/>
                <w:noProof/>
                <w:color w:val="1F497D" w:themeColor="text2"/>
                <w:sz w:val="28"/>
                <w:szCs w:val="28"/>
              </w:rPr>
              <w:t>Conclusions</w:t>
            </w:r>
            <w:r w:rsidR="00D31F73" w:rsidRPr="00D31F73">
              <w:rPr>
                <w:rFonts w:asciiTheme="minorHAnsi" w:hAnsiTheme="minorHAnsi"/>
                <w:b/>
                <w:noProof/>
                <w:webHidden/>
                <w:color w:val="1F497D" w:themeColor="text2"/>
                <w:sz w:val="28"/>
                <w:szCs w:val="28"/>
              </w:rPr>
              <w:tab/>
            </w:r>
            <w:r w:rsidRPr="00D31F73">
              <w:rPr>
                <w:rFonts w:asciiTheme="minorHAnsi" w:hAnsiTheme="minorHAnsi"/>
                <w:b/>
                <w:noProof/>
                <w:webHidden/>
                <w:color w:val="1F497D" w:themeColor="text2"/>
                <w:sz w:val="28"/>
                <w:szCs w:val="28"/>
              </w:rPr>
              <w:fldChar w:fldCharType="begin"/>
            </w:r>
            <w:r w:rsidR="00D31F73" w:rsidRPr="00D31F73">
              <w:rPr>
                <w:rFonts w:asciiTheme="minorHAnsi" w:hAnsiTheme="minorHAnsi"/>
                <w:b/>
                <w:noProof/>
                <w:webHidden/>
                <w:color w:val="1F497D" w:themeColor="text2"/>
                <w:sz w:val="28"/>
                <w:szCs w:val="28"/>
              </w:rPr>
              <w:instrText xml:space="preserve"> PAGEREF _Toc372035098 \h </w:instrText>
            </w:r>
            <w:r w:rsidRPr="00D31F73">
              <w:rPr>
                <w:rFonts w:asciiTheme="minorHAnsi" w:hAnsiTheme="minorHAnsi"/>
                <w:b/>
                <w:noProof/>
                <w:webHidden/>
                <w:color w:val="1F497D" w:themeColor="text2"/>
                <w:sz w:val="28"/>
                <w:szCs w:val="28"/>
              </w:rPr>
            </w:r>
            <w:r w:rsidRPr="00D31F73">
              <w:rPr>
                <w:rFonts w:asciiTheme="minorHAnsi" w:hAnsiTheme="minorHAnsi"/>
                <w:b/>
                <w:noProof/>
                <w:webHidden/>
                <w:color w:val="1F497D" w:themeColor="text2"/>
                <w:sz w:val="28"/>
                <w:szCs w:val="28"/>
              </w:rPr>
              <w:fldChar w:fldCharType="separate"/>
            </w:r>
            <w:r w:rsidR="004D765E">
              <w:rPr>
                <w:rFonts w:asciiTheme="minorHAnsi" w:hAnsiTheme="minorHAnsi"/>
                <w:b/>
                <w:noProof/>
                <w:webHidden/>
                <w:color w:val="1F497D" w:themeColor="text2"/>
                <w:sz w:val="28"/>
                <w:szCs w:val="28"/>
              </w:rPr>
              <w:t>11</w:t>
            </w:r>
            <w:r w:rsidRPr="00D31F73">
              <w:rPr>
                <w:rFonts w:asciiTheme="minorHAnsi" w:hAnsiTheme="minorHAnsi"/>
                <w:b/>
                <w:noProof/>
                <w:webHidden/>
                <w:color w:val="1F497D" w:themeColor="text2"/>
                <w:sz w:val="28"/>
                <w:szCs w:val="28"/>
              </w:rPr>
              <w:fldChar w:fldCharType="end"/>
            </w:r>
          </w:hyperlink>
        </w:p>
        <w:p w:rsidR="00D31F73" w:rsidRPr="00D31F73" w:rsidRDefault="003E5AC9">
          <w:pPr>
            <w:pStyle w:val="Obsah2"/>
            <w:tabs>
              <w:tab w:val="right" w:leader="dot" w:pos="9350"/>
            </w:tabs>
            <w:rPr>
              <w:rFonts w:asciiTheme="minorHAnsi" w:hAnsiTheme="minorHAnsi"/>
              <w:b/>
              <w:noProof/>
              <w:color w:val="1F497D" w:themeColor="text2"/>
              <w:sz w:val="28"/>
              <w:szCs w:val="28"/>
            </w:rPr>
          </w:pPr>
          <w:hyperlink w:anchor="_Toc372035099" w:history="1">
            <w:r w:rsidR="00D31F73" w:rsidRPr="00D31F73">
              <w:rPr>
                <w:rStyle w:val="Hypertextovprepojenie"/>
                <w:rFonts w:asciiTheme="minorHAnsi" w:hAnsiTheme="minorHAnsi"/>
                <w:b/>
                <w:noProof/>
                <w:color w:val="1F497D" w:themeColor="text2"/>
                <w:sz w:val="28"/>
                <w:szCs w:val="28"/>
              </w:rPr>
              <w:t>Bibliography</w:t>
            </w:r>
            <w:r w:rsidR="00D31F73" w:rsidRPr="00D31F73">
              <w:rPr>
                <w:rFonts w:asciiTheme="minorHAnsi" w:hAnsiTheme="minorHAnsi"/>
                <w:b/>
                <w:noProof/>
                <w:webHidden/>
                <w:color w:val="1F497D" w:themeColor="text2"/>
                <w:sz w:val="28"/>
                <w:szCs w:val="28"/>
              </w:rPr>
              <w:tab/>
            </w:r>
            <w:r w:rsidRPr="00D31F73">
              <w:rPr>
                <w:rFonts w:asciiTheme="minorHAnsi" w:hAnsiTheme="minorHAnsi"/>
                <w:b/>
                <w:noProof/>
                <w:webHidden/>
                <w:color w:val="1F497D" w:themeColor="text2"/>
                <w:sz w:val="28"/>
                <w:szCs w:val="28"/>
              </w:rPr>
              <w:fldChar w:fldCharType="begin"/>
            </w:r>
            <w:r w:rsidR="00D31F73" w:rsidRPr="00D31F73">
              <w:rPr>
                <w:rFonts w:asciiTheme="minorHAnsi" w:hAnsiTheme="minorHAnsi"/>
                <w:b/>
                <w:noProof/>
                <w:webHidden/>
                <w:color w:val="1F497D" w:themeColor="text2"/>
                <w:sz w:val="28"/>
                <w:szCs w:val="28"/>
              </w:rPr>
              <w:instrText xml:space="preserve"> PAGEREF _Toc372035099 \h </w:instrText>
            </w:r>
            <w:r w:rsidRPr="00D31F73">
              <w:rPr>
                <w:rFonts w:asciiTheme="minorHAnsi" w:hAnsiTheme="minorHAnsi"/>
                <w:b/>
                <w:noProof/>
                <w:webHidden/>
                <w:color w:val="1F497D" w:themeColor="text2"/>
                <w:sz w:val="28"/>
                <w:szCs w:val="28"/>
              </w:rPr>
            </w:r>
            <w:r w:rsidRPr="00D31F73">
              <w:rPr>
                <w:rFonts w:asciiTheme="minorHAnsi" w:hAnsiTheme="minorHAnsi"/>
                <w:b/>
                <w:noProof/>
                <w:webHidden/>
                <w:color w:val="1F497D" w:themeColor="text2"/>
                <w:sz w:val="28"/>
                <w:szCs w:val="28"/>
              </w:rPr>
              <w:fldChar w:fldCharType="separate"/>
            </w:r>
            <w:r w:rsidR="004D765E">
              <w:rPr>
                <w:rFonts w:asciiTheme="minorHAnsi" w:hAnsiTheme="minorHAnsi"/>
                <w:b/>
                <w:noProof/>
                <w:webHidden/>
                <w:color w:val="1F497D" w:themeColor="text2"/>
                <w:sz w:val="28"/>
                <w:szCs w:val="28"/>
              </w:rPr>
              <w:t>12</w:t>
            </w:r>
            <w:r w:rsidRPr="00D31F73">
              <w:rPr>
                <w:rFonts w:asciiTheme="minorHAnsi" w:hAnsiTheme="minorHAnsi"/>
                <w:b/>
                <w:noProof/>
                <w:webHidden/>
                <w:color w:val="1F497D" w:themeColor="text2"/>
                <w:sz w:val="28"/>
                <w:szCs w:val="28"/>
              </w:rPr>
              <w:fldChar w:fldCharType="end"/>
            </w:r>
          </w:hyperlink>
        </w:p>
        <w:p w:rsidR="00D31F73" w:rsidRDefault="003E5AC9">
          <w:pPr>
            <w:rPr>
              <w:rFonts w:asciiTheme="minorHAnsi" w:hAnsiTheme="minorHAnsi"/>
              <w:sz w:val="22"/>
              <w:lang w:val="en-US"/>
            </w:rPr>
          </w:pPr>
          <w:r w:rsidRPr="00D31F73">
            <w:rPr>
              <w:rFonts w:asciiTheme="minorHAnsi" w:hAnsiTheme="minorHAnsi"/>
              <w:b/>
              <w:color w:val="1F497D" w:themeColor="text2"/>
              <w:sz w:val="28"/>
              <w:szCs w:val="28"/>
            </w:rPr>
            <w:fldChar w:fldCharType="end"/>
          </w:r>
        </w:p>
      </w:sdtContent>
    </w:sdt>
    <w:p w:rsidR="00D31F73" w:rsidRDefault="00D31F73">
      <w:pPr>
        <w:rPr>
          <w:rFonts w:asciiTheme="minorHAnsi" w:hAnsiTheme="minorHAnsi"/>
          <w:sz w:val="22"/>
          <w:lang w:val="en-US"/>
        </w:rPr>
      </w:pPr>
    </w:p>
    <w:p w:rsidR="00D31F73" w:rsidRDefault="00D31F73">
      <w:pPr>
        <w:rPr>
          <w:rFonts w:asciiTheme="minorHAnsi" w:hAnsiTheme="minorHAnsi"/>
          <w:sz w:val="22"/>
          <w:lang w:val="en-US"/>
        </w:rPr>
      </w:pPr>
    </w:p>
    <w:p w:rsidR="00D31F73" w:rsidRDefault="00D31F73">
      <w:pPr>
        <w:rPr>
          <w:rFonts w:asciiTheme="minorHAnsi" w:hAnsiTheme="minorHAnsi"/>
          <w:sz w:val="22"/>
          <w:lang w:val="en-US"/>
        </w:rPr>
      </w:pPr>
    </w:p>
    <w:p w:rsidR="00D31F73" w:rsidRDefault="00D31F73">
      <w:pPr>
        <w:rPr>
          <w:rFonts w:asciiTheme="minorHAnsi" w:hAnsiTheme="minorHAnsi"/>
          <w:sz w:val="22"/>
          <w:lang w:val="en-US"/>
        </w:rPr>
      </w:pPr>
    </w:p>
    <w:p w:rsidR="00D31F73" w:rsidRDefault="00D31F73">
      <w:pPr>
        <w:rPr>
          <w:rFonts w:asciiTheme="minorHAnsi" w:hAnsiTheme="minorHAnsi"/>
          <w:sz w:val="22"/>
          <w:lang w:val="en-US"/>
        </w:rPr>
      </w:pPr>
    </w:p>
    <w:p w:rsidR="00D31F73" w:rsidRDefault="00D31F73">
      <w:pPr>
        <w:rPr>
          <w:rFonts w:asciiTheme="minorHAnsi" w:hAnsiTheme="minorHAnsi"/>
          <w:sz w:val="22"/>
          <w:lang w:val="en-US"/>
        </w:rPr>
      </w:pPr>
    </w:p>
    <w:p w:rsidR="00D31F73" w:rsidRDefault="00D31F73">
      <w:pPr>
        <w:rPr>
          <w:rFonts w:asciiTheme="minorHAnsi" w:hAnsiTheme="minorHAnsi"/>
          <w:sz w:val="22"/>
          <w:lang w:val="en-US"/>
        </w:rPr>
      </w:pPr>
    </w:p>
    <w:p w:rsidR="00D31F73" w:rsidRDefault="00D31F73">
      <w:pPr>
        <w:rPr>
          <w:rFonts w:asciiTheme="minorHAnsi" w:hAnsiTheme="minorHAnsi"/>
          <w:sz w:val="22"/>
          <w:lang w:val="en-US"/>
        </w:rPr>
      </w:pPr>
    </w:p>
    <w:p w:rsidR="00D31F73" w:rsidRDefault="00D31F73">
      <w:pPr>
        <w:rPr>
          <w:rFonts w:asciiTheme="minorHAnsi" w:hAnsiTheme="minorHAnsi"/>
          <w:sz w:val="16"/>
          <w:szCs w:val="12"/>
          <w:lang w:val="en-US"/>
        </w:rPr>
      </w:pPr>
      <w:r>
        <w:rPr>
          <w:rFonts w:asciiTheme="minorHAnsi" w:hAnsiTheme="minorHAnsi"/>
          <w:sz w:val="16"/>
          <w:szCs w:val="12"/>
          <w:lang w:val="en-US"/>
        </w:rPr>
        <w:br w:type="page"/>
      </w:r>
    </w:p>
    <w:p w:rsidR="00302D74" w:rsidRPr="00302D74" w:rsidRDefault="00302D74" w:rsidP="00302D74">
      <w:pPr>
        <w:pStyle w:val="Nadpis2"/>
      </w:pPr>
      <w:bookmarkStart w:id="1" w:name="_Toc372035092"/>
      <w:r w:rsidRPr="00302D74">
        <w:lastRenderedPageBreak/>
        <w:t>Executive Summary</w:t>
      </w:r>
      <w:bookmarkEnd w:id="1"/>
    </w:p>
    <w:p w:rsidR="007467F2" w:rsidRDefault="007467F2" w:rsidP="007467F2">
      <w:bookmarkStart w:id="2" w:name="_Toc372035093"/>
    </w:p>
    <w:p w:rsidR="007467F2" w:rsidRPr="00BA0DCD" w:rsidRDefault="007467F2" w:rsidP="007467F2">
      <w:pPr>
        <w:rPr>
          <w:rFonts w:asciiTheme="minorHAnsi" w:hAnsiTheme="minorHAnsi"/>
          <w:sz w:val="22"/>
          <w:szCs w:val="22"/>
          <w:lang w:val="en-GB"/>
        </w:rPr>
      </w:pPr>
      <w:r w:rsidRPr="00BA0DCD">
        <w:rPr>
          <w:rFonts w:asciiTheme="minorHAnsi" w:hAnsiTheme="minorHAnsi"/>
          <w:sz w:val="22"/>
          <w:szCs w:val="22"/>
          <w:lang w:val="en-GB"/>
        </w:rPr>
        <w:t>In the course of the REGIONAL project, that aims to comparatively analyse Adult Learning (AL) policy formulation, implementation and financing in 16 regions in six countries within Europe, the project partners have conducted interviews with policy makers and, in support of the interviews, analysed policy documents released between 2011 and 2014 in order to gain detailed insight into policy making processes.</w:t>
      </w:r>
    </w:p>
    <w:p w:rsidR="00BA0DCD" w:rsidRDefault="00BA0DCD" w:rsidP="0033151E">
      <w:pPr>
        <w:pStyle w:val="Default"/>
        <w:rPr>
          <w:rFonts w:asciiTheme="minorHAnsi" w:hAnsiTheme="minorHAnsi"/>
          <w:sz w:val="22"/>
          <w:szCs w:val="22"/>
          <w:highlight w:val="yellow"/>
          <w:lang w:val="en-GB"/>
        </w:rPr>
      </w:pPr>
    </w:p>
    <w:p w:rsidR="0033151E" w:rsidRPr="00BA0DCD" w:rsidRDefault="007467F2" w:rsidP="0033151E">
      <w:pPr>
        <w:pStyle w:val="Default"/>
        <w:rPr>
          <w:rFonts w:asciiTheme="minorHAnsi" w:hAnsiTheme="minorHAnsi"/>
          <w:sz w:val="22"/>
          <w:szCs w:val="22"/>
        </w:rPr>
      </w:pPr>
      <w:r w:rsidRPr="00BA0DCD">
        <w:rPr>
          <w:rFonts w:asciiTheme="minorHAnsi" w:hAnsiTheme="minorHAnsi"/>
          <w:sz w:val="22"/>
          <w:szCs w:val="22"/>
          <w:lang w:val="en-GB"/>
        </w:rPr>
        <w:t>On the level of NUTS</w:t>
      </w:r>
      <w:r w:rsidR="00BA0DCD" w:rsidRPr="00BA0DCD">
        <w:rPr>
          <w:rFonts w:asciiTheme="minorHAnsi" w:hAnsiTheme="minorHAnsi"/>
          <w:sz w:val="22"/>
          <w:szCs w:val="22"/>
          <w:lang w:val="en-GB"/>
        </w:rPr>
        <w:t xml:space="preserve"> </w:t>
      </w:r>
      <w:r w:rsidRPr="00BA0DCD">
        <w:rPr>
          <w:rFonts w:asciiTheme="minorHAnsi" w:hAnsiTheme="minorHAnsi"/>
          <w:sz w:val="22"/>
          <w:szCs w:val="22"/>
          <w:lang w:val="en-GB"/>
        </w:rPr>
        <w:t>2 Slovakia´s regions have no governing structures. Therefore the analysis was done on the level of NUTS</w:t>
      </w:r>
      <w:r w:rsidR="00BA0DCD" w:rsidRPr="00BA0DCD">
        <w:rPr>
          <w:rFonts w:asciiTheme="minorHAnsi" w:hAnsiTheme="minorHAnsi"/>
          <w:sz w:val="22"/>
          <w:szCs w:val="22"/>
          <w:lang w:val="en-GB"/>
        </w:rPr>
        <w:t xml:space="preserve"> </w:t>
      </w:r>
      <w:r w:rsidRPr="00BA0DCD">
        <w:rPr>
          <w:rFonts w:asciiTheme="minorHAnsi" w:hAnsiTheme="minorHAnsi"/>
          <w:sz w:val="22"/>
          <w:szCs w:val="22"/>
          <w:lang w:val="en-GB"/>
        </w:rPr>
        <w:t xml:space="preserve">3 regions. Out of 8 regions, 2 were chosen </w:t>
      </w:r>
      <w:proofErr w:type="gramStart"/>
      <w:r w:rsidR="00A01043">
        <w:rPr>
          <w:rFonts w:asciiTheme="minorHAnsi" w:hAnsiTheme="minorHAnsi"/>
          <w:sz w:val="22"/>
          <w:szCs w:val="22"/>
          <w:lang w:val="en-GB"/>
        </w:rPr>
        <w:t xml:space="preserve">- </w:t>
      </w:r>
      <w:r w:rsidRPr="00BA0DCD">
        <w:rPr>
          <w:rFonts w:asciiTheme="minorHAnsi" w:hAnsiTheme="minorHAnsi"/>
          <w:sz w:val="22"/>
          <w:szCs w:val="22"/>
          <w:lang w:val="en-GB"/>
        </w:rPr>
        <w:t xml:space="preserve"> </w:t>
      </w:r>
      <w:proofErr w:type="spellStart"/>
      <w:r w:rsidRPr="00BA0DCD">
        <w:rPr>
          <w:rFonts w:asciiTheme="minorHAnsi" w:hAnsiTheme="minorHAnsi"/>
          <w:sz w:val="22"/>
          <w:szCs w:val="22"/>
          <w:lang w:val="en-GB"/>
        </w:rPr>
        <w:t>Bratislavský</w:t>
      </w:r>
      <w:proofErr w:type="spellEnd"/>
      <w:proofErr w:type="gramEnd"/>
      <w:r w:rsidRPr="00BA0DCD">
        <w:rPr>
          <w:rFonts w:asciiTheme="minorHAnsi" w:hAnsiTheme="minorHAnsi"/>
          <w:sz w:val="22"/>
          <w:szCs w:val="22"/>
          <w:lang w:val="en-GB"/>
        </w:rPr>
        <w:t xml:space="preserve"> Self-Governing Region and </w:t>
      </w:r>
      <w:proofErr w:type="spellStart"/>
      <w:r w:rsidRPr="00BA0DCD">
        <w:rPr>
          <w:rFonts w:asciiTheme="minorHAnsi" w:hAnsiTheme="minorHAnsi"/>
          <w:sz w:val="22"/>
          <w:szCs w:val="22"/>
          <w:lang w:val="en-GB"/>
        </w:rPr>
        <w:t>Prešovský</w:t>
      </w:r>
      <w:proofErr w:type="spellEnd"/>
      <w:r w:rsidRPr="00BA0DCD">
        <w:rPr>
          <w:rFonts w:asciiTheme="minorHAnsi" w:hAnsiTheme="minorHAnsi"/>
          <w:sz w:val="22"/>
          <w:szCs w:val="22"/>
          <w:lang w:val="en-GB"/>
        </w:rPr>
        <w:t xml:space="preserve"> Self-Governing Region as examples of two very different situations</w:t>
      </w:r>
      <w:r w:rsidR="0033151E" w:rsidRPr="00BA0DCD">
        <w:rPr>
          <w:rFonts w:asciiTheme="minorHAnsi" w:hAnsiTheme="minorHAnsi"/>
          <w:sz w:val="22"/>
          <w:szCs w:val="22"/>
          <w:lang w:val="en-GB"/>
        </w:rPr>
        <w:t>:</w:t>
      </w:r>
      <w:r w:rsidRPr="00BA0DCD">
        <w:rPr>
          <w:rFonts w:asciiTheme="minorHAnsi" w:hAnsiTheme="minorHAnsi"/>
          <w:sz w:val="22"/>
          <w:szCs w:val="22"/>
          <w:lang w:val="en-GB"/>
        </w:rPr>
        <w:t xml:space="preserve"> </w:t>
      </w:r>
      <w:proofErr w:type="spellStart"/>
      <w:r w:rsidR="0033151E" w:rsidRPr="00BA0DCD">
        <w:rPr>
          <w:rFonts w:asciiTheme="minorHAnsi" w:hAnsiTheme="minorHAnsi"/>
          <w:sz w:val="22"/>
          <w:szCs w:val="22"/>
        </w:rPr>
        <w:t>Bratislavsky</w:t>
      </w:r>
      <w:proofErr w:type="spellEnd"/>
      <w:r w:rsidR="0033151E" w:rsidRPr="00BA0DCD">
        <w:rPr>
          <w:rFonts w:asciiTheme="minorHAnsi" w:hAnsiTheme="minorHAnsi"/>
          <w:sz w:val="22"/>
          <w:szCs w:val="22"/>
        </w:rPr>
        <w:t xml:space="preserve"> Region represents a central region, situated around the capital city, it is a competitiveness region, rich, urban, industrial, and covering a small area. The </w:t>
      </w:r>
      <w:proofErr w:type="spellStart"/>
      <w:r w:rsidR="0033151E" w:rsidRPr="00BA0DCD">
        <w:rPr>
          <w:rFonts w:asciiTheme="minorHAnsi" w:hAnsiTheme="minorHAnsi"/>
          <w:sz w:val="22"/>
          <w:szCs w:val="22"/>
        </w:rPr>
        <w:t>Presovsky</w:t>
      </w:r>
      <w:proofErr w:type="spellEnd"/>
      <w:r w:rsidR="0033151E" w:rsidRPr="00BA0DCD">
        <w:rPr>
          <w:rFonts w:asciiTheme="minorHAnsi" w:hAnsiTheme="minorHAnsi"/>
          <w:sz w:val="22"/>
          <w:szCs w:val="22"/>
        </w:rPr>
        <w:t xml:space="preserve"> Region is a remote region, lying in the easternmost part of the country, agricultural, rural, convergence region covering a relatively large area. The number of inhabitants is similar in both regions.</w:t>
      </w:r>
    </w:p>
    <w:p w:rsidR="00861C46" w:rsidRPr="00BA0DCD" w:rsidRDefault="00861C46" w:rsidP="0033151E">
      <w:pPr>
        <w:pStyle w:val="Default"/>
        <w:rPr>
          <w:rFonts w:asciiTheme="minorHAnsi" w:hAnsiTheme="minorHAnsi"/>
          <w:sz w:val="22"/>
          <w:szCs w:val="22"/>
        </w:rPr>
      </w:pPr>
    </w:p>
    <w:p w:rsidR="007467F2" w:rsidRPr="00BA0DCD" w:rsidRDefault="007467F2" w:rsidP="007467F2">
      <w:pPr>
        <w:rPr>
          <w:rFonts w:asciiTheme="minorHAnsi" w:hAnsiTheme="minorHAnsi"/>
          <w:sz w:val="22"/>
          <w:szCs w:val="22"/>
          <w:lang w:val="en-GB"/>
        </w:rPr>
      </w:pPr>
      <w:r w:rsidRPr="00BA0DCD">
        <w:rPr>
          <w:rFonts w:asciiTheme="minorHAnsi" w:hAnsiTheme="minorHAnsi"/>
          <w:sz w:val="22"/>
          <w:szCs w:val="22"/>
          <w:lang w:val="en-GB"/>
        </w:rPr>
        <w:t xml:space="preserve">In Slovakia, a total of 5 interviews with policy makers were conducted between April and October 2014. Additionally, a variety of policy documents were studied to prepare for the interviews and put the results into context. </w:t>
      </w:r>
    </w:p>
    <w:p w:rsidR="007467F2" w:rsidRPr="00BA0DCD" w:rsidRDefault="007467F2" w:rsidP="007467F2">
      <w:pPr>
        <w:rPr>
          <w:rFonts w:asciiTheme="minorHAnsi" w:hAnsiTheme="minorHAnsi"/>
          <w:sz w:val="22"/>
          <w:szCs w:val="22"/>
          <w:lang w:val="en-GB"/>
        </w:rPr>
      </w:pPr>
    </w:p>
    <w:p w:rsidR="0033151E" w:rsidRPr="00BA0DCD" w:rsidRDefault="0033151E" w:rsidP="007467F2">
      <w:pPr>
        <w:rPr>
          <w:rFonts w:asciiTheme="minorHAnsi" w:hAnsiTheme="minorHAnsi"/>
          <w:sz w:val="22"/>
          <w:szCs w:val="22"/>
          <w:lang w:val="en-GB"/>
        </w:rPr>
      </w:pPr>
      <w:r w:rsidRPr="00BA0DCD">
        <w:rPr>
          <w:rFonts w:asciiTheme="minorHAnsi" w:hAnsiTheme="minorHAnsi"/>
          <w:sz w:val="22"/>
          <w:szCs w:val="22"/>
          <w:lang w:val="en-GB"/>
        </w:rPr>
        <w:t xml:space="preserve">The decentralisation process in Slovakia </w:t>
      </w:r>
      <w:r w:rsidR="00A01043">
        <w:rPr>
          <w:rFonts w:asciiTheme="minorHAnsi" w:hAnsiTheme="minorHAnsi"/>
          <w:sz w:val="22"/>
          <w:szCs w:val="22"/>
          <w:lang w:val="en-GB"/>
        </w:rPr>
        <w:t xml:space="preserve">(handing over the competencies from the central government to the regions) </w:t>
      </w:r>
      <w:r w:rsidRPr="00BA0DCD">
        <w:rPr>
          <w:rFonts w:asciiTheme="minorHAnsi" w:hAnsiTheme="minorHAnsi"/>
          <w:sz w:val="22"/>
          <w:szCs w:val="22"/>
          <w:lang w:val="en-GB"/>
        </w:rPr>
        <w:t xml:space="preserve">has been completed only recently and some policies have not yet been elaborated on the regional level. According to the research, Adult Learning is an example of such policy. Policy making is still done only at the central level, as well as implementation tends to be administered centrally. What can be found on the level of regions are partial policies </w:t>
      </w:r>
      <w:r w:rsidR="00BA0DCD">
        <w:rPr>
          <w:rFonts w:asciiTheme="minorHAnsi" w:hAnsiTheme="minorHAnsi"/>
          <w:sz w:val="22"/>
          <w:szCs w:val="22"/>
          <w:lang w:val="en-GB"/>
        </w:rPr>
        <w:t xml:space="preserve">on learning </w:t>
      </w:r>
      <w:r w:rsidRPr="00BA0DCD">
        <w:rPr>
          <w:rFonts w:asciiTheme="minorHAnsi" w:hAnsiTheme="minorHAnsi"/>
          <w:sz w:val="22"/>
          <w:szCs w:val="22"/>
          <w:lang w:val="en-GB"/>
        </w:rPr>
        <w:t>related to structural funds allocation and planning, mainly in connection with lowering unemployment through ("re-qualification") training.</w:t>
      </w:r>
    </w:p>
    <w:p w:rsidR="007467F2" w:rsidRDefault="007467F2" w:rsidP="007467F2">
      <w:pPr>
        <w:rPr>
          <w:rFonts w:asciiTheme="minorHAnsi" w:eastAsiaTheme="majorEastAsia" w:hAnsiTheme="minorHAnsi" w:cstheme="majorBidi"/>
          <w:b/>
          <w:bCs/>
          <w:iCs/>
          <w:color w:val="1F497D" w:themeColor="text2"/>
          <w:sz w:val="22"/>
          <w:szCs w:val="22"/>
          <w:lang w:val="en-US"/>
        </w:rPr>
      </w:pPr>
    </w:p>
    <w:p w:rsidR="007467F2" w:rsidRDefault="007467F2" w:rsidP="007467F2"/>
    <w:p w:rsidR="007467F2" w:rsidRDefault="007467F2" w:rsidP="007467F2"/>
    <w:p w:rsidR="007467F2" w:rsidRDefault="007467F2" w:rsidP="007467F2"/>
    <w:p w:rsidR="007467F2" w:rsidRDefault="007467F2" w:rsidP="007467F2"/>
    <w:p w:rsidR="007467F2" w:rsidRDefault="007467F2" w:rsidP="007467F2"/>
    <w:p w:rsidR="007467F2" w:rsidRDefault="007467F2" w:rsidP="007467F2"/>
    <w:p w:rsidR="00D31F73" w:rsidRDefault="007467F2">
      <w:pPr>
        <w:rPr>
          <w:rFonts w:asciiTheme="minorHAnsi" w:eastAsiaTheme="majorEastAsia" w:hAnsiTheme="minorHAnsi" w:cstheme="majorBidi"/>
          <w:b/>
          <w:bCs/>
          <w:iCs/>
          <w:color w:val="1F497D" w:themeColor="text2"/>
          <w:sz w:val="22"/>
          <w:szCs w:val="22"/>
          <w:lang w:val="en-US"/>
        </w:rPr>
      </w:pPr>
      <w:r>
        <w:rPr>
          <w:rFonts w:asciiTheme="minorHAnsi" w:eastAsiaTheme="majorEastAsia" w:hAnsiTheme="minorHAnsi" w:cstheme="majorBidi"/>
          <w:b/>
          <w:bCs/>
          <w:iCs/>
          <w:color w:val="1F497D" w:themeColor="text2"/>
          <w:sz w:val="22"/>
          <w:szCs w:val="22"/>
          <w:lang w:val="en-US"/>
        </w:rPr>
        <w:t xml:space="preserve"> </w:t>
      </w:r>
    </w:p>
    <w:p w:rsidR="00BA0DCD" w:rsidRDefault="00BA0DCD">
      <w:pPr>
        <w:rPr>
          <w:rFonts w:asciiTheme="minorHAnsi" w:eastAsiaTheme="majorEastAsia" w:hAnsiTheme="minorHAnsi" w:cstheme="majorBidi"/>
          <w:b/>
          <w:bCs/>
          <w:iCs/>
          <w:color w:val="1F497D" w:themeColor="text2"/>
          <w:sz w:val="22"/>
          <w:szCs w:val="22"/>
          <w:lang w:val="en-US"/>
        </w:rPr>
      </w:pPr>
      <w:r>
        <w:br w:type="page"/>
      </w:r>
    </w:p>
    <w:p w:rsidR="00302D74" w:rsidRDefault="00302D74" w:rsidP="00302D74">
      <w:pPr>
        <w:pStyle w:val="Nadpis2"/>
      </w:pPr>
      <w:r>
        <w:lastRenderedPageBreak/>
        <w:t xml:space="preserve">Introduction: REGIONAL Project and </w:t>
      </w:r>
      <w:r w:rsidR="00BA0DCD">
        <w:t>Slovakia</w:t>
      </w:r>
      <w:bookmarkEnd w:id="2"/>
    </w:p>
    <w:p w:rsidR="00861C46" w:rsidRDefault="00861C46">
      <w:pPr>
        <w:rPr>
          <w:rFonts w:asciiTheme="minorHAnsi" w:hAnsiTheme="minorHAnsi"/>
          <w:sz w:val="22"/>
          <w:lang w:val="en-US"/>
        </w:rPr>
      </w:pPr>
    </w:p>
    <w:p w:rsidR="00861C46" w:rsidRPr="00BA0DCD" w:rsidRDefault="00861C46" w:rsidP="00861C46">
      <w:pPr>
        <w:rPr>
          <w:rFonts w:asciiTheme="minorHAnsi" w:hAnsiTheme="minorHAnsi"/>
          <w:sz w:val="22"/>
          <w:lang w:val="en-GB"/>
        </w:rPr>
      </w:pPr>
      <w:r w:rsidRPr="00BA0DCD">
        <w:rPr>
          <w:rFonts w:asciiTheme="minorHAnsi" w:hAnsiTheme="minorHAnsi"/>
          <w:sz w:val="22"/>
          <w:lang w:val="en-GB"/>
        </w:rPr>
        <w:t xml:space="preserve">The main motivation for the project </w:t>
      </w:r>
      <w:r w:rsidRPr="00BA0DCD">
        <w:rPr>
          <w:rFonts w:asciiTheme="minorHAnsi" w:hAnsiTheme="minorHAnsi"/>
          <w:i/>
          <w:sz w:val="22"/>
          <w:lang w:val="en-GB"/>
        </w:rPr>
        <w:t>Comparative Analysis of Regional Policies for Adult Learning</w:t>
      </w:r>
      <w:r w:rsidRPr="00BA0DCD">
        <w:rPr>
          <w:rFonts w:asciiTheme="minorHAnsi" w:hAnsiTheme="minorHAnsi"/>
          <w:sz w:val="22"/>
          <w:lang w:val="en-GB"/>
        </w:rPr>
        <w:t xml:space="preserve"> (REGIONAL) is the need to identify and exploit key factors influencing adult learning policy making. In doing so, the project pursues objectives on three different levels: firstly, detailed insights into the processes of policy making and their differences across Europe will be gained, secondly, the effectiveness and impact of policies will be improved and therefore, thirdly, the project will contribute to the overall objective of reducing major geographic disparities in educational opportunities and outcomes across and within EU regions. </w:t>
      </w:r>
    </w:p>
    <w:p w:rsidR="00BA0DCD" w:rsidRDefault="00BA0DCD" w:rsidP="00BA0DCD">
      <w:pPr>
        <w:rPr>
          <w:rFonts w:asciiTheme="minorHAnsi" w:hAnsiTheme="minorHAnsi"/>
          <w:sz w:val="22"/>
          <w:lang w:val="en-GB"/>
        </w:rPr>
      </w:pPr>
    </w:p>
    <w:p w:rsidR="00861C46" w:rsidRPr="00BA0DCD" w:rsidRDefault="00861C46" w:rsidP="00BA0DCD">
      <w:pPr>
        <w:rPr>
          <w:rFonts w:asciiTheme="minorHAnsi" w:hAnsiTheme="minorHAnsi"/>
          <w:sz w:val="22"/>
          <w:lang w:val="en-GB"/>
        </w:rPr>
      </w:pPr>
      <w:r w:rsidRPr="00BA0DCD">
        <w:rPr>
          <w:rFonts w:asciiTheme="minorHAnsi" w:hAnsiTheme="minorHAnsi"/>
          <w:sz w:val="22"/>
          <w:lang w:val="en-GB"/>
        </w:rPr>
        <w:t>More specifically, on the level of insights into policy making processes REGIONAL aims at supplementing large international comparative studies that ascertain regional disparities in performance of adults but also in participation in adult learning programmes. In their communication “Adult Learning: It Is Never Too Late to Learn” (2006) the European Commission highlights how “barriers to participation by individuals may be policy-related”. The project therefore grants insights into the process of policy formulation, implementation and funding to shed light on the formal aspects of policy making and their influence on adult learning.</w:t>
      </w:r>
    </w:p>
    <w:p w:rsidR="00BA0DCD" w:rsidRDefault="00BA0DCD" w:rsidP="003A494A">
      <w:pPr>
        <w:pStyle w:val="Default"/>
        <w:rPr>
          <w:rFonts w:asciiTheme="minorHAnsi" w:hAnsiTheme="minorHAnsi"/>
          <w:sz w:val="22"/>
          <w:lang w:val="en-GB"/>
        </w:rPr>
      </w:pPr>
    </w:p>
    <w:p w:rsidR="003A494A" w:rsidRPr="00BA0DCD" w:rsidRDefault="00861C46" w:rsidP="003A494A">
      <w:pPr>
        <w:pStyle w:val="Default"/>
        <w:rPr>
          <w:rFonts w:asciiTheme="minorHAnsi" w:hAnsiTheme="minorHAnsi"/>
          <w:sz w:val="22"/>
          <w:lang w:val="en-GB"/>
        </w:rPr>
      </w:pPr>
      <w:r w:rsidRPr="00BA0DCD">
        <w:rPr>
          <w:rFonts w:asciiTheme="minorHAnsi" w:hAnsiTheme="minorHAnsi"/>
          <w:sz w:val="22"/>
          <w:lang w:val="en-GB"/>
        </w:rPr>
        <w:t>The primary research was based on interviews using a standardised questionnaire comprising open and closed questions on formulation, implementation and funding of AL policies. Since on the level of NUTS</w:t>
      </w:r>
      <w:r w:rsidR="00BA0DCD">
        <w:rPr>
          <w:rFonts w:asciiTheme="minorHAnsi" w:hAnsiTheme="minorHAnsi"/>
          <w:sz w:val="22"/>
          <w:lang w:val="en-GB"/>
        </w:rPr>
        <w:t xml:space="preserve"> </w:t>
      </w:r>
      <w:r w:rsidRPr="00BA0DCD">
        <w:rPr>
          <w:rFonts w:asciiTheme="minorHAnsi" w:hAnsiTheme="minorHAnsi"/>
          <w:sz w:val="22"/>
          <w:lang w:val="en-GB"/>
        </w:rPr>
        <w:t>2 Slovakia´s regions have no governing structures, the analysis was done on the level of NUTS3 regions. Out of 8 regions in Slovakia, 2 were chosen</w:t>
      </w:r>
      <w:r w:rsidR="003A494A" w:rsidRPr="00BA0DCD">
        <w:rPr>
          <w:rFonts w:asciiTheme="minorHAnsi" w:hAnsiTheme="minorHAnsi"/>
          <w:sz w:val="22"/>
          <w:lang w:val="en-GB"/>
        </w:rPr>
        <w:t>:</w:t>
      </w:r>
      <w:r w:rsidRPr="00BA0DCD">
        <w:rPr>
          <w:rFonts w:asciiTheme="minorHAnsi" w:hAnsiTheme="minorHAnsi"/>
          <w:sz w:val="22"/>
          <w:lang w:val="en-GB"/>
        </w:rPr>
        <w:t xml:space="preserve">  </w:t>
      </w:r>
      <w:proofErr w:type="spellStart"/>
      <w:r w:rsidRPr="00BA0DCD">
        <w:rPr>
          <w:rFonts w:asciiTheme="minorHAnsi" w:hAnsiTheme="minorHAnsi"/>
          <w:sz w:val="22"/>
          <w:lang w:val="en-GB"/>
        </w:rPr>
        <w:t>Bratislavský</w:t>
      </w:r>
      <w:proofErr w:type="spellEnd"/>
      <w:r w:rsidRPr="00BA0DCD">
        <w:rPr>
          <w:rFonts w:asciiTheme="minorHAnsi" w:hAnsiTheme="minorHAnsi"/>
          <w:sz w:val="22"/>
          <w:lang w:val="en-GB"/>
        </w:rPr>
        <w:t xml:space="preserve"> Self-Governing Region and </w:t>
      </w:r>
      <w:proofErr w:type="spellStart"/>
      <w:r w:rsidRPr="00BA0DCD">
        <w:rPr>
          <w:rFonts w:asciiTheme="minorHAnsi" w:hAnsiTheme="minorHAnsi"/>
          <w:sz w:val="22"/>
          <w:lang w:val="en-GB"/>
        </w:rPr>
        <w:t>Prešovský</w:t>
      </w:r>
      <w:proofErr w:type="spellEnd"/>
      <w:r w:rsidRPr="00BA0DCD">
        <w:rPr>
          <w:rFonts w:asciiTheme="minorHAnsi" w:hAnsiTheme="minorHAnsi"/>
          <w:sz w:val="22"/>
          <w:lang w:val="en-GB"/>
        </w:rPr>
        <w:t xml:space="preserve"> Self-Governing Region</w:t>
      </w:r>
      <w:r w:rsidR="003A494A" w:rsidRPr="00BA0DCD">
        <w:rPr>
          <w:rFonts w:asciiTheme="minorHAnsi" w:hAnsiTheme="minorHAnsi"/>
          <w:sz w:val="22"/>
          <w:lang w:val="en-GB"/>
        </w:rPr>
        <w:t>, a competitiveness and convergence region</w:t>
      </w:r>
      <w:r w:rsidR="00BA0DCD">
        <w:rPr>
          <w:rFonts w:asciiTheme="minorHAnsi" w:hAnsiTheme="minorHAnsi"/>
          <w:sz w:val="22"/>
          <w:lang w:val="en-GB"/>
        </w:rPr>
        <w:t>s in 2007-2013 terminology</w:t>
      </w:r>
      <w:r w:rsidR="00E95628">
        <w:rPr>
          <w:rFonts w:asciiTheme="minorHAnsi" w:hAnsiTheme="minorHAnsi"/>
          <w:sz w:val="22"/>
          <w:lang w:val="en-GB"/>
        </w:rPr>
        <w:t xml:space="preserve"> (transition and </w:t>
      </w:r>
      <w:r w:rsidR="00BA0DCD">
        <w:rPr>
          <w:rFonts w:asciiTheme="minorHAnsi" w:hAnsiTheme="minorHAnsi"/>
          <w:sz w:val="22"/>
          <w:lang w:val="en-GB"/>
        </w:rPr>
        <w:t xml:space="preserve">less developed </w:t>
      </w:r>
      <w:r w:rsidR="00E95628">
        <w:rPr>
          <w:rFonts w:asciiTheme="minorHAnsi" w:hAnsiTheme="minorHAnsi"/>
          <w:sz w:val="22"/>
          <w:lang w:val="en-GB"/>
        </w:rPr>
        <w:t>regions in 2014-2020 terminology</w:t>
      </w:r>
      <w:proofErr w:type="gramStart"/>
      <w:r w:rsidR="00E95628">
        <w:rPr>
          <w:rFonts w:asciiTheme="minorHAnsi" w:hAnsiTheme="minorHAnsi"/>
          <w:sz w:val="22"/>
          <w:lang w:val="en-GB"/>
        </w:rPr>
        <w:t>)</w:t>
      </w:r>
      <w:r w:rsidR="00BA0DCD">
        <w:rPr>
          <w:rFonts w:asciiTheme="minorHAnsi" w:hAnsiTheme="minorHAnsi"/>
          <w:sz w:val="22"/>
          <w:lang w:val="en-GB"/>
        </w:rPr>
        <w:t xml:space="preserve"> </w:t>
      </w:r>
      <w:r w:rsidR="003A494A" w:rsidRPr="00BA0DCD">
        <w:rPr>
          <w:rFonts w:asciiTheme="minorHAnsi" w:hAnsiTheme="minorHAnsi"/>
          <w:sz w:val="22"/>
          <w:lang w:val="en-GB"/>
        </w:rPr>
        <w:t xml:space="preserve"> with</w:t>
      </w:r>
      <w:proofErr w:type="gramEnd"/>
      <w:r w:rsidR="003A494A" w:rsidRPr="00BA0DCD">
        <w:rPr>
          <w:rFonts w:asciiTheme="minorHAnsi" w:hAnsiTheme="minorHAnsi"/>
          <w:sz w:val="22"/>
          <w:lang w:val="en-GB"/>
        </w:rPr>
        <w:t xml:space="preserve"> very different </w:t>
      </w:r>
      <w:proofErr w:type="spellStart"/>
      <w:r w:rsidR="003A494A" w:rsidRPr="00BA0DCD">
        <w:rPr>
          <w:rFonts w:asciiTheme="minorHAnsi" w:hAnsiTheme="minorHAnsi"/>
          <w:sz w:val="22"/>
          <w:lang w:val="en-GB"/>
        </w:rPr>
        <w:t>characterics</w:t>
      </w:r>
      <w:proofErr w:type="spellEnd"/>
      <w:r w:rsidR="003A494A" w:rsidRPr="00BA0DCD">
        <w:rPr>
          <w:rFonts w:asciiTheme="minorHAnsi" w:hAnsiTheme="minorHAnsi"/>
          <w:sz w:val="22"/>
          <w:lang w:val="en-GB"/>
        </w:rPr>
        <w:t xml:space="preserve"> in terms of </w:t>
      </w:r>
      <w:r w:rsidRPr="00BA0DCD">
        <w:rPr>
          <w:rFonts w:asciiTheme="minorHAnsi" w:hAnsiTheme="minorHAnsi"/>
          <w:sz w:val="22"/>
          <w:lang w:val="en-GB"/>
        </w:rPr>
        <w:t>unemployment, inhabit</w:t>
      </w:r>
      <w:r w:rsidR="003A494A" w:rsidRPr="00BA0DCD">
        <w:rPr>
          <w:rFonts w:asciiTheme="minorHAnsi" w:hAnsiTheme="minorHAnsi"/>
          <w:sz w:val="22"/>
          <w:lang w:val="en-GB"/>
        </w:rPr>
        <w:t xml:space="preserve">ants per square kilometre, GDP. </w:t>
      </w:r>
    </w:p>
    <w:p w:rsidR="003A494A" w:rsidRPr="00BA0DCD" w:rsidRDefault="003A494A" w:rsidP="003A494A">
      <w:pPr>
        <w:pStyle w:val="Default"/>
        <w:rPr>
          <w:rFonts w:asciiTheme="minorHAnsi" w:hAnsiTheme="minorHAnsi"/>
          <w:sz w:val="22"/>
          <w:lang w:val="en-GB"/>
        </w:rPr>
      </w:pPr>
    </w:p>
    <w:p w:rsidR="003A494A" w:rsidRPr="00BA0DCD" w:rsidRDefault="003A494A" w:rsidP="003A494A">
      <w:pPr>
        <w:pStyle w:val="Default"/>
        <w:rPr>
          <w:rFonts w:asciiTheme="minorHAnsi" w:hAnsiTheme="minorHAnsi"/>
          <w:sz w:val="22"/>
          <w:lang w:val="en-GB"/>
        </w:rPr>
      </w:pPr>
      <w:r w:rsidRPr="00BA0DCD">
        <w:rPr>
          <w:rFonts w:asciiTheme="minorHAnsi" w:hAnsiTheme="minorHAnsi"/>
          <w:sz w:val="22"/>
          <w:lang w:val="en-GB"/>
        </w:rPr>
        <w:t>A total number of 6 interviews were conducted, 1 as a test interview and 5 interviews that were used further. In all cases, non-elected policy makers were interviewed. One representative from each region was interviewed and three representatives of the national level policy making, Ministry of Education, Slovak Academic Information Agency and National Lifelong Learning</w:t>
      </w:r>
      <w:r w:rsidR="00E95628" w:rsidRPr="00E95628">
        <w:rPr>
          <w:rFonts w:asciiTheme="minorHAnsi" w:hAnsiTheme="minorHAnsi"/>
          <w:sz w:val="22"/>
          <w:lang w:val="en-GB"/>
        </w:rPr>
        <w:t xml:space="preserve"> </w:t>
      </w:r>
      <w:r w:rsidR="00E95628" w:rsidRPr="00BA0DCD">
        <w:rPr>
          <w:rFonts w:asciiTheme="minorHAnsi" w:hAnsiTheme="minorHAnsi"/>
          <w:sz w:val="22"/>
          <w:lang w:val="en-GB"/>
        </w:rPr>
        <w:t>Institute</w:t>
      </w:r>
      <w:r w:rsidRPr="00BA0DCD">
        <w:rPr>
          <w:rFonts w:asciiTheme="minorHAnsi" w:hAnsiTheme="minorHAnsi"/>
          <w:sz w:val="22"/>
          <w:lang w:val="en-GB"/>
        </w:rPr>
        <w:t>. We had to turn to the national level, since the regional levels do not deal with AL as such. They include elements of AL or lifelong learning into overall regional development strategies, though.</w:t>
      </w:r>
    </w:p>
    <w:p w:rsidR="003A494A" w:rsidRPr="00BA0DCD" w:rsidRDefault="003A494A" w:rsidP="003A494A">
      <w:pPr>
        <w:pStyle w:val="Default"/>
        <w:rPr>
          <w:rFonts w:asciiTheme="minorHAnsi" w:hAnsiTheme="minorHAnsi"/>
          <w:sz w:val="22"/>
          <w:lang w:val="en-GB"/>
        </w:rPr>
      </w:pPr>
    </w:p>
    <w:p w:rsidR="00861C46" w:rsidRPr="00BA0DCD" w:rsidRDefault="008C7251" w:rsidP="00861C46">
      <w:pPr>
        <w:rPr>
          <w:rFonts w:asciiTheme="minorHAnsi" w:hAnsiTheme="minorHAnsi"/>
          <w:sz w:val="22"/>
          <w:lang w:val="en-GB"/>
        </w:rPr>
      </w:pPr>
      <w:r w:rsidRPr="00BA0DCD">
        <w:rPr>
          <w:rFonts w:asciiTheme="minorHAnsi" w:hAnsiTheme="minorHAnsi"/>
          <w:sz w:val="22"/>
          <w:lang w:val="en-GB"/>
        </w:rPr>
        <w:t>The</w:t>
      </w:r>
      <w:r w:rsidR="00D86BFF">
        <w:rPr>
          <w:rFonts w:asciiTheme="minorHAnsi" w:hAnsiTheme="minorHAnsi"/>
          <w:sz w:val="22"/>
          <w:lang w:val="en-GB"/>
        </w:rPr>
        <w:t>refore the</w:t>
      </w:r>
      <w:r w:rsidRPr="00BA0DCD">
        <w:rPr>
          <w:rFonts w:asciiTheme="minorHAnsi" w:hAnsiTheme="minorHAnsi"/>
          <w:sz w:val="22"/>
          <w:lang w:val="en-GB"/>
        </w:rPr>
        <w:t xml:space="preserve"> main finding is that on the regional level in case of Slovakia we cannot speak of a policy on AL. </w:t>
      </w:r>
      <w:r w:rsidR="00D86BFF">
        <w:rPr>
          <w:rFonts w:asciiTheme="minorHAnsi" w:hAnsiTheme="minorHAnsi"/>
          <w:sz w:val="22"/>
          <w:lang w:val="en-GB"/>
        </w:rPr>
        <w:t xml:space="preserve">As for the national level, all relevant main documents refer to lifelong learning, not AL as such. However, they cover the training realised after the formal learning which we believe is the equivalent of AL. </w:t>
      </w:r>
      <w:r w:rsidRPr="00BA0DCD">
        <w:rPr>
          <w:rFonts w:asciiTheme="minorHAnsi" w:hAnsiTheme="minorHAnsi"/>
          <w:sz w:val="22"/>
          <w:lang w:val="en-GB"/>
        </w:rPr>
        <w:t>The 3 national agencies that we interview</w:t>
      </w:r>
      <w:r w:rsidR="00E95628">
        <w:rPr>
          <w:rFonts w:asciiTheme="minorHAnsi" w:hAnsiTheme="minorHAnsi"/>
          <w:sz w:val="22"/>
          <w:lang w:val="en-GB"/>
        </w:rPr>
        <w:t>ed</w:t>
      </w:r>
      <w:r w:rsidRPr="00BA0DCD">
        <w:rPr>
          <w:rFonts w:asciiTheme="minorHAnsi" w:hAnsiTheme="minorHAnsi"/>
          <w:sz w:val="22"/>
          <w:lang w:val="en-GB"/>
        </w:rPr>
        <w:t xml:space="preserve"> deal with different aspects of AL - </w:t>
      </w:r>
      <w:r w:rsidR="00184792" w:rsidRPr="00BA0DCD">
        <w:rPr>
          <w:rFonts w:asciiTheme="minorHAnsi" w:hAnsiTheme="minorHAnsi"/>
          <w:sz w:val="22"/>
          <w:lang w:val="en-GB"/>
        </w:rPr>
        <w:t>accreditation</w:t>
      </w:r>
      <w:r w:rsidRPr="00BA0DCD">
        <w:rPr>
          <w:rFonts w:asciiTheme="minorHAnsi" w:hAnsiTheme="minorHAnsi"/>
          <w:sz w:val="22"/>
          <w:lang w:val="en-GB"/>
        </w:rPr>
        <w:t xml:space="preserve"> or formalisation of teaching products (Ministry), funding of selected projects </w:t>
      </w:r>
      <w:r w:rsidR="00D86BFF">
        <w:rPr>
          <w:rFonts w:asciiTheme="minorHAnsi" w:hAnsiTheme="minorHAnsi"/>
          <w:sz w:val="22"/>
          <w:lang w:val="en-GB"/>
        </w:rPr>
        <w:t xml:space="preserve">through EU funds </w:t>
      </w:r>
      <w:r w:rsidRPr="00BA0DCD">
        <w:rPr>
          <w:rFonts w:asciiTheme="minorHAnsi" w:hAnsiTheme="minorHAnsi"/>
          <w:sz w:val="22"/>
          <w:lang w:val="en-GB"/>
        </w:rPr>
        <w:t xml:space="preserve">(SAIA) and implementation of national projects aimed at lowering unemployment </w:t>
      </w:r>
      <w:r w:rsidR="00E67675">
        <w:rPr>
          <w:rFonts w:asciiTheme="minorHAnsi" w:hAnsiTheme="minorHAnsi"/>
          <w:sz w:val="22"/>
          <w:lang w:val="en-GB"/>
        </w:rPr>
        <w:t xml:space="preserve">and being a contact point for </w:t>
      </w:r>
      <w:r w:rsidR="00E67675">
        <w:rPr>
          <w:rFonts w:asciiTheme="minorHAnsi" w:hAnsiTheme="minorHAnsi"/>
          <w:sz w:val="22"/>
          <w:lang w:val="en-GB"/>
        </w:rPr>
        <w:lastRenderedPageBreak/>
        <w:t xml:space="preserve">several EU initiatives in the area of AL </w:t>
      </w:r>
      <w:r w:rsidRPr="00BA0DCD">
        <w:rPr>
          <w:rFonts w:asciiTheme="minorHAnsi" w:hAnsiTheme="minorHAnsi"/>
          <w:sz w:val="22"/>
          <w:lang w:val="en-GB"/>
        </w:rPr>
        <w:t>(NLLL</w:t>
      </w:r>
      <w:r w:rsidR="00E95628">
        <w:rPr>
          <w:rFonts w:asciiTheme="minorHAnsi" w:hAnsiTheme="minorHAnsi"/>
          <w:sz w:val="22"/>
          <w:lang w:val="en-GB"/>
        </w:rPr>
        <w:t>I</w:t>
      </w:r>
      <w:r w:rsidRPr="00BA0DCD">
        <w:rPr>
          <w:rFonts w:asciiTheme="minorHAnsi" w:hAnsiTheme="minorHAnsi"/>
          <w:sz w:val="22"/>
          <w:lang w:val="en-GB"/>
        </w:rPr>
        <w:t>). Also their understanding of the overall goals of AL policies differed.</w:t>
      </w:r>
    </w:p>
    <w:p w:rsidR="008C7251" w:rsidRPr="00BA0DCD" w:rsidRDefault="008C7251" w:rsidP="00861C46">
      <w:pPr>
        <w:rPr>
          <w:rFonts w:asciiTheme="minorHAnsi" w:hAnsiTheme="minorHAnsi"/>
          <w:sz w:val="22"/>
          <w:lang w:val="en-GB"/>
        </w:rPr>
      </w:pPr>
    </w:p>
    <w:p w:rsidR="008C7251" w:rsidRDefault="00861C46" w:rsidP="00861C46">
      <w:pPr>
        <w:rPr>
          <w:rFonts w:asciiTheme="minorHAnsi" w:hAnsiTheme="minorHAnsi"/>
          <w:sz w:val="22"/>
          <w:lang w:val="en-GB"/>
        </w:rPr>
      </w:pPr>
      <w:r w:rsidRPr="00BA0DCD">
        <w:rPr>
          <w:rFonts w:asciiTheme="minorHAnsi" w:hAnsiTheme="minorHAnsi"/>
          <w:sz w:val="22"/>
          <w:lang w:val="en-GB"/>
        </w:rPr>
        <w:t xml:space="preserve">Furthermore, </w:t>
      </w:r>
      <w:r w:rsidR="00184792" w:rsidRPr="00BA0DCD">
        <w:rPr>
          <w:rFonts w:asciiTheme="minorHAnsi" w:hAnsiTheme="minorHAnsi"/>
          <w:sz w:val="22"/>
          <w:lang w:val="en-GB"/>
        </w:rPr>
        <w:t>a desk</w:t>
      </w:r>
      <w:r w:rsidR="008C7251" w:rsidRPr="00BA0DCD">
        <w:rPr>
          <w:rFonts w:asciiTheme="minorHAnsi" w:hAnsiTheme="minorHAnsi"/>
          <w:sz w:val="22"/>
          <w:lang w:val="en-GB"/>
        </w:rPr>
        <w:t xml:space="preserve"> research was </w:t>
      </w:r>
      <w:r w:rsidR="00BB7BD6" w:rsidRPr="00BA0DCD">
        <w:rPr>
          <w:rFonts w:asciiTheme="minorHAnsi" w:hAnsiTheme="minorHAnsi"/>
          <w:sz w:val="22"/>
          <w:lang w:val="en-GB"/>
        </w:rPr>
        <w:t xml:space="preserve">conducted. It included all </w:t>
      </w:r>
      <w:r w:rsidRPr="00BA0DCD">
        <w:rPr>
          <w:rFonts w:asciiTheme="minorHAnsi" w:hAnsiTheme="minorHAnsi"/>
          <w:sz w:val="22"/>
          <w:lang w:val="en-GB"/>
        </w:rPr>
        <w:t xml:space="preserve">documents </w:t>
      </w:r>
      <w:r w:rsidR="00BB7BD6" w:rsidRPr="00BA0DCD">
        <w:rPr>
          <w:rFonts w:asciiTheme="minorHAnsi" w:hAnsiTheme="minorHAnsi"/>
          <w:sz w:val="22"/>
          <w:lang w:val="en-GB"/>
        </w:rPr>
        <w:t xml:space="preserve">related to AL </w:t>
      </w:r>
      <w:r w:rsidRPr="00BA0DCD">
        <w:rPr>
          <w:rFonts w:asciiTheme="minorHAnsi" w:hAnsiTheme="minorHAnsi"/>
          <w:sz w:val="22"/>
          <w:lang w:val="en-GB"/>
        </w:rPr>
        <w:t xml:space="preserve">from 2011 until 2014 and </w:t>
      </w:r>
      <w:r w:rsidR="00BB7BD6" w:rsidRPr="00BA0DCD">
        <w:rPr>
          <w:rFonts w:asciiTheme="minorHAnsi" w:hAnsiTheme="minorHAnsi"/>
          <w:sz w:val="22"/>
          <w:lang w:val="en-GB"/>
        </w:rPr>
        <w:t xml:space="preserve">reflected also older documents which were significant, such as the Act on Lifelong </w:t>
      </w:r>
      <w:r w:rsidR="0056733E" w:rsidRPr="00BA0DCD">
        <w:rPr>
          <w:rFonts w:asciiTheme="minorHAnsi" w:hAnsiTheme="minorHAnsi"/>
          <w:sz w:val="22"/>
          <w:lang w:val="en-GB"/>
        </w:rPr>
        <w:t>L</w:t>
      </w:r>
      <w:r w:rsidR="00BB7BD6" w:rsidRPr="00BA0DCD">
        <w:rPr>
          <w:rFonts w:asciiTheme="minorHAnsi" w:hAnsiTheme="minorHAnsi"/>
          <w:sz w:val="22"/>
          <w:lang w:val="en-GB"/>
        </w:rPr>
        <w:t xml:space="preserve">earning </w:t>
      </w:r>
      <w:r w:rsidR="00E95628">
        <w:rPr>
          <w:rFonts w:asciiTheme="minorHAnsi" w:hAnsiTheme="minorHAnsi"/>
          <w:sz w:val="22"/>
          <w:lang w:val="en-GB"/>
        </w:rPr>
        <w:t xml:space="preserve">(2009) </w:t>
      </w:r>
      <w:r w:rsidR="00BB7BD6" w:rsidRPr="00BA0DCD">
        <w:rPr>
          <w:rFonts w:asciiTheme="minorHAnsi" w:hAnsiTheme="minorHAnsi"/>
          <w:sz w:val="22"/>
          <w:lang w:val="en-GB"/>
        </w:rPr>
        <w:t xml:space="preserve">which </w:t>
      </w:r>
      <w:r w:rsidR="00E95628">
        <w:rPr>
          <w:rFonts w:asciiTheme="minorHAnsi" w:hAnsiTheme="minorHAnsi"/>
          <w:sz w:val="22"/>
          <w:lang w:val="en-GB"/>
        </w:rPr>
        <w:t xml:space="preserve">sets the main legislative </w:t>
      </w:r>
      <w:r w:rsidR="00BB7BD6" w:rsidRPr="00BA0DCD">
        <w:rPr>
          <w:rFonts w:asciiTheme="minorHAnsi" w:hAnsiTheme="minorHAnsi"/>
          <w:sz w:val="22"/>
          <w:lang w:val="en-GB"/>
        </w:rPr>
        <w:t>framework.</w:t>
      </w:r>
    </w:p>
    <w:p w:rsidR="00A56B01" w:rsidRDefault="00A56B01" w:rsidP="00861C46">
      <w:pPr>
        <w:rPr>
          <w:rFonts w:asciiTheme="minorHAnsi" w:hAnsiTheme="minorHAnsi"/>
          <w:sz w:val="22"/>
          <w:lang w:val="en-GB"/>
        </w:rPr>
      </w:pPr>
      <w:r>
        <w:rPr>
          <w:rFonts w:asciiTheme="minorHAnsi" w:hAnsiTheme="minorHAnsi"/>
          <w:sz w:val="22"/>
          <w:lang w:val="en-GB"/>
        </w:rPr>
        <w:t xml:space="preserve">It should be mentioned here that there are specific laws regulating certain professions and further training in these, such as teachers, </w:t>
      </w:r>
      <w:r w:rsidR="00E67675">
        <w:rPr>
          <w:rFonts w:asciiTheme="minorHAnsi" w:hAnsiTheme="minorHAnsi"/>
          <w:sz w:val="22"/>
          <w:lang w:val="en-GB"/>
        </w:rPr>
        <w:t>me</w:t>
      </w:r>
      <w:r>
        <w:rPr>
          <w:rFonts w:asciiTheme="minorHAnsi" w:hAnsiTheme="minorHAnsi"/>
          <w:sz w:val="22"/>
          <w:lang w:val="en-GB"/>
        </w:rPr>
        <w:t>d</w:t>
      </w:r>
      <w:r w:rsidR="00E67675">
        <w:rPr>
          <w:rFonts w:asciiTheme="minorHAnsi" w:hAnsiTheme="minorHAnsi"/>
          <w:sz w:val="22"/>
          <w:lang w:val="en-GB"/>
        </w:rPr>
        <w:t>ical workers</w:t>
      </w:r>
      <w:r>
        <w:rPr>
          <w:rFonts w:asciiTheme="minorHAnsi" w:hAnsiTheme="minorHAnsi"/>
          <w:sz w:val="22"/>
          <w:lang w:val="en-GB"/>
        </w:rPr>
        <w:t xml:space="preserve">, </w:t>
      </w:r>
      <w:r w:rsidR="00E67675">
        <w:rPr>
          <w:rFonts w:asciiTheme="minorHAnsi" w:hAnsiTheme="minorHAnsi"/>
          <w:sz w:val="22"/>
          <w:lang w:val="en-GB"/>
        </w:rPr>
        <w:t>veterinary care etc.</w:t>
      </w:r>
    </w:p>
    <w:p w:rsidR="004D765E" w:rsidRDefault="004D765E" w:rsidP="00861C46">
      <w:pPr>
        <w:rPr>
          <w:rFonts w:asciiTheme="minorHAnsi" w:hAnsiTheme="minorHAnsi"/>
          <w:sz w:val="22"/>
          <w:lang w:val="en-GB"/>
        </w:rPr>
      </w:pPr>
    </w:p>
    <w:p w:rsidR="004D765E" w:rsidRPr="004D765E" w:rsidRDefault="004D765E" w:rsidP="00861C46">
      <w:pPr>
        <w:rPr>
          <w:rFonts w:asciiTheme="minorHAnsi" w:hAnsiTheme="minorHAnsi"/>
          <w:sz w:val="22"/>
          <w:lang w:val="cs-CZ"/>
        </w:rPr>
      </w:pPr>
      <w:r>
        <w:rPr>
          <w:rFonts w:asciiTheme="minorHAnsi" w:hAnsiTheme="minorHAnsi"/>
          <w:sz w:val="22"/>
          <w:lang w:val="en-GB"/>
        </w:rPr>
        <w:t>All documents were found on the websites of institutions – the Regions</w:t>
      </w:r>
      <w:r>
        <w:rPr>
          <w:rFonts w:asciiTheme="minorHAnsi" w:hAnsiTheme="minorHAnsi"/>
          <w:sz w:val="22"/>
          <w:lang w:val="cs-CZ"/>
        </w:rPr>
        <w:t xml:space="preserve">´ </w:t>
      </w:r>
      <w:proofErr w:type="spellStart"/>
      <w:r>
        <w:rPr>
          <w:rFonts w:asciiTheme="minorHAnsi" w:hAnsiTheme="minorHAnsi"/>
          <w:sz w:val="22"/>
          <w:lang w:val="cs-CZ"/>
        </w:rPr>
        <w:t>offices</w:t>
      </w:r>
      <w:proofErr w:type="spellEnd"/>
      <w:r>
        <w:rPr>
          <w:rFonts w:asciiTheme="minorHAnsi" w:hAnsiTheme="minorHAnsi"/>
          <w:sz w:val="22"/>
          <w:lang w:val="cs-CZ"/>
        </w:rPr>
        <w:t xml:space="preserve"> </w:t>
      </w:r>
      <w:proofErr w:type="spellStart"/>
      <w:r>
        <w:rPr>
          <w:rFonts w:asciiTheme="minorHAnsi" w:hAnsiTheme="minorHAnsi"/>
          <w:sz w:val="22"/>
          <w:lang w:val="cs-CZ"/>
        </w:rPr>
        <w:t>or</w:t>
      </w:r>
      <w:proofErr w:type="spellEnd"/>
      <w:r>
        <w:rPr>
          <w:rFonts w:asciiTheme="minorHAnsi" w:hAnsiTheme="minorHAnsi"/>
          <w:sz w:val="22"/>
          <w:lang w:val="cs-CZ"/>
        </w:rPr>
        <w:t xml:space="preserve"> </w:t>
      </w:r>
      <w:proofErr w:type="spellStart"/>
      <w:r>
        <w:rPr>
          <w:rFonts w:asciiTheme="minorHAnsi" w:hAnsiTheme="minorHAnsi"/>
          <w:sz w:val="22"/>
          <w:lang w:val="cs-CZ"/>
        </w:rPr>
        <w:t>national</w:t>
      </w:r>
      <w:proofErr w:type="spellEnd"/>
      <w:r>
        <w:rPr>
          <w:rFonts w:asciiTheme="minorHAnsi" w:hAnsiTheme="minorHAnsi"/>
          <w:sz w:val="22"/>
          <w:lang w:val="cs-CZ"/>
        </w:rPr>
        <w:t xml:space="preserve"> </w:t>
      </w:r>
      <w:proofErr w:type="spellStart"/>
      <w:r>
        <w:rPr>
          <w:rFonts w:asciiTheme="minorHAnsi" w:hAnsiTheme="minorHAnsi"/>
          <w:sz w:val="22"/>
          <w:lang w:val="cs-CZ"/>
        </w:rPr>
        <w:t>agencies.The</w:t>
      </w:r>
      <w:proofErr w:type="spellEnd"/>
      <w:r>
        <w:rPr>
          <w:rFonts w:asciiTheme="minorHAnsi" w:hAnsiTheme="minorHAnsi"/>
          <w:sz w:val="22"/>
          <w:lang w:val="cs-CZ"/>
        </w:rPr>
        <w:t xml:space="preserve"> </w:t>
      </w:r>
      <w:proofErr w:type="spellStart"/>
      <w:r>
        <w:rPr>
          <w:rFonts w:asciiTheme="minorHAnsi" w:hAnsiTheme="minorHAnsi"/>
          <w:sz w:val="22"/>
          <w:lang w:val="cs-CZ"/>
        </w:rPr>
        <w:t>documents</w:t>
      </w:r>
      <w:proofErr w:type="spellEnd"/>
      <w:r>
        <w:rPr>
          <w:rFonts w:asciiTheme="minorHAnsi" w:hAnsiTheme="minorHAnsi"/>
          <w:sz w:val="22"/>
          <w:lang w:val="cs-CZ"/>
        </w:rPr>
        <w:t xml:space="preserve"> on </w:t>
      </w:r>
      <w:proofErr w:type="spellStart"/>
      <w:r>
        <w:rPr>
          <w:rFonts w:asciiTheme="minorHAnsi" w:hAnsiTheme="minorHAnsi"/>
          <w:sz w:val="22"/>
          <w:lang w:val="cs-CZ"/>
        </w:rPr>
        <w:t>the</w:t>
      </w:r>
      <w:proofErr w:type="spellEnd"/>
      <w:r>
        <w:rPr>
          <w:rFonts w:asciiTheme="minorHAnsi" w:hAnsiTheme="minorHAnsi"/>
          <w:sz w:val="22"/>
          <w:lang w:val="cs-CZ"/>
        </w:rPr>
        <w:t xml:space="preserve"> </w:t>
      </w:r>
      <w:proofErr w:type="spellStart"/>
      <w:r>
        <w:rPr>
          <w:rFonts w:asciiTheme="minorHAnsi" w:hAnsiTheme="minorHAnsi"/>
          <w:sz w:val="22"/>
          <w:lang w:val="cs-CZ"/>
        </w:rPr>
        <w:t>level</w:t>
      </w:r>
      <w:proofErr w:type="spellEnd"/>
      <w:r>
        <w:rPr>
          <w:rFonts w:asciiTheme="minorHAnsi" w:hAnsiTheme="minorHAnsi"/>
          <w:sz w:val="22"/>
          <w:lang w:val="cs-CZ"/>
        </w:rPr>
        <w:t xml:space="preserve"> </w:t>
      </w:r>
      <w:proofErr w:type="spellStart"/>
      <w:r>
        <w:rPr>
          <w:rFonts w:asciiTheme="minorHAnsi" w:hAnsiTheme="minorHAnsi"/>
          <w:sz w:val="22"/>
          <w:lang w:val="cs-CZ"/>
        </w:rPr>
        <w:t>of</w:t>
      </w:r>
      <w:proofErr w:type="spellEnd"/>
      <w:r>
        <w:rPr>
          <w:rFonts w:asciiTheme="minorHAnsi" w:hAnsiTheme="minorHAnsi"/>
          <w:sz w:val="22"/>
          <w:lang w:val="cs-CZ"/>
        </w:rPr>
        <w:t xml:space="preserve"> </w:t>
      </w:r>
      <w:proofErr w:type="spellStart"/>
      <w:r>
        <w:rPr>
          <w:rFonts w:asciiTheme="minorHAnsi" w:hAnsiTheme="minorHAnsi"/>
          <w:sz w:val="22"/>
          <w:lang w:val="cs-CZ"/>
        </w:rPr>
        <w:t>regions</w:t>
      </w:r>
      <w:proofErr w:type="spellEnd"/>
      <w:r>
        <w:rPr>
          <w:rFonts w:asciiTheme="minorHAnsi" w:hAnsiTheme="minorHAnsi"/>
          <w:sz w:val="22"/>
          <w:lang w:val="cs-CZ"/>
        </w:rPr>
        <w:t xml:space="preserve"> </w:t>
      </w:r>
      <w:proofErr w:type="spellStart"/>
      <w:r>
        <w:rPr>
          <w:rFonts w:asciiTheme="minorHAnsi" w:hAnsiTheme="minorHAnsi"/>
          <w:sz w:val="22"/>
          <w:lang w:val="cs-CZ"/>
        </w:rPr>
        <w:t>were</w:t>
      </w:r>
      <w:proofErr w:type="spellEnd"/>
      <w:r>
        <w:rPr>
          <w:rFonts w:asciiTheme="minorHAnsi" w:hAnsiTheme="minorHAnsi"/>
          <w:sz w:val="22"/>
          <w:lang w:val="cs-CZ"/>
        </w:rPr>
        <w:t xml:space="preserve"> </w:t>
      </w:r>
      <w:proofErr w:type="spellStart"/>
      <w:r>
        <w:rPr>
          <w:rFonts w:asciiTheme="minorHAnsi" w:hAnsiTheme="minorHAnsi"/>
          <w:sz w:val="22"/>
          <w:lang w:val="cs-CZ"/>
        </w:rPr>
        <w:t>mainly</w:t>
      </w:r>
      <w:proofErr w:type="spellEnd"/>
      <w:r>
        <w:rPr>
          <w:rFonts w:asciiTheme="minorHAnsi" w:hAnsiTheme="minorHAnsi"/>
          <w:sz w:val="22"/>
          <w:lang w:val="cs-CZ"/>
        </w:rPr>
        <w:t xml:space="preserve"> </w:t>
      </w:r>
      <w:proofErr w:type="spellStart"/>
      <w:r>
        <w:rPr>
          <w:rFonts w:asciiTheme="minorHAnsi" w:hAnsiTheme="minorHAnsi"/>
          <w:sz w:val="22"/>
          <w:lang w:val="cs-CZ"/>
        </w:rPr>
        <w:t>the</w:t>
      </w:r>
      <w:proofErr w:type="spellEnd"/>
      <w:r>
        <w:rPr>
          <w:rFonts w:asciiTheme="minorHAnsi" w:hAnsiTheme="minorHAnsi"/>
          <w:sz w:val="22"/>
          <w:lang w:val="cs-CZ"/>
        </w:rPr>
        <w:t xml:space="preserve"> </w:t>
      </w:r>
      <w:proofErr w:type="spellStart"/>
      <w:r>
        <w:rPr>
          <w:rFonts w:asciiTheme="minorHAnsi" w:hAnsiTheme="minorHAnsi"/>
          <w:sz w:val="22"/>
          <w:lang w:val="cs-CZ"/>
        </w:rPr>
        <w:t>Regional</w:t>
      </w:r>
      <w:proofErr w:type="spellEnd"/>
      <w:r>
        <w:rPr>
          <w:rFonts w:asciiTheme="minorHAnsi" w:hAnsiTheme="minorHAnsi"/>
          <w:sz w:val="22"/>
          <w:lang w:val="cs-CZ"/>
        </w:rPr>
        <w:t xml:space="preserve"> </w:t>
      </w:r>
      <w:proofErr w:type="spellStart"/>
      <w:r>
        <w:rPr>
          <w:rFonts w:asciiTheme="minorHAnsi" w:hAnsiTheme="minorHAnsi"/>
          <w:sz w:val="22"/>
          <w:lang w:val="cs-CZ"/>
        </w:rPr>
        <w:t>Social</w:t>
      </w:r>
      <w:proofErr w:type="spellEnd"/>
      <w:r>
        <w:rPr>
          <w:rFonts w:asciiTheme="minorHAnsi" w:hAnsiTheme="minorHAnsi"/>
          <w:sz w:val="22"/>
          <w:lang w:val="cs-CZ"/>
        </w:rPr>
        <w:t xml:space="preserve"> </w:t>
      </w:r>
      <w:proofErr w:type="spellStart"/>
      <w:r>
        <w:rPr>
          <w:rFonts w:asciiTheme="minorHAnsi" w:hAnsiTheme="minorHAnsi"/>
          <w:sz w:val="22"/>
          <w:lang w:val="cs-CZ"/>
        </w:rPr>
        <w:t>and</w:t>
      </w:r>
      <w:proofErr w:type="spellEnd"/>
      <w:r>
        <w:rPr>
          <w:rFonts w:asciiTheme="minorHAnsi" w:hAnsiTheme="minorHAnsi"/>
          <w:sz w:val="22"/>
          <w:lang w:val="cs-CZ"/>
        </w:rPr>
        <w:t xml:space="preserve"> </w:t>
      </w:r>
      <w:proofErr w:type="spellStart"/>
      <w:r>
        <w:rPr>
          <w:rFonts w:asciiTheme="minorHAnsi" w:hAnsiTheme="minorHAnsi"/>
          <w:sz w:val="22"/>
          <w:lang w:val="cs-CZ"/>
        </w:rPr>
        <w:t>Economic</w:t>
      </w:r>
      <w:proofErr w:type="spellEnd"/>
      <w:r>
        <w:rPr>
          <w:rFonts w:asciiTheme="minorHAnsi" w:hAnsiTheme="minorHAnsi"/>
          <w:sz w:val="22"/>
          <w:lang w:val="cs-CZ"/>
        </w:rPr>
        <w:t xml:space="preserve"> </w:t>
      </w:r>
      <w:proofErr w:type="spellStart"/>
      <w:r>
        <w:rPr>
          <w:rFonts w:asciiTheme="minorHAnsi" w:hAnsiTheme="minorHAnsi"/>
          <w:sz w:val="22"/>
          <w:lang w:val="cs-CZ"/>
        </w:rPr>
        <w:t>Development</w:t>
      </w:r>
      <w:proofErr w:type="spellEnd"/>
      <w:r>
        <w:rPr>
          <w:rFonts w:asciiTheme="minorHAnsi" w:hAnsiTheme="minorHAnsi"/>
          <w:sz w:val="22"/>
          <w:lang w:val="cs-CZ"/>
        </w:rPr>
        <w:t xml:space="preserve"> </w:t>
      </w:r>
      <w:proofErr w:type="spellStart"/>
      <w:r>
        <w:rPr>
          <w:rFonts w:asciiTheme="minorHAnsi" w:hAnsiTheme="minorHAnsi"/>
          <w:sz w:val="22"/>
          <w:lang w:val="cs-CZ"/>
        </w:rPr>
        <w:t>Strategies</w:t>
      </w:r>
      <w:proofErr w:type="spellEnd"/>
      <w:r>
        <w:rPr>
          <w:rFonts w:asciiTheme="minorHAnsi" w:hAnsiTheme="minorHAnsi"/>
          <w:sz w:val="22"/>
          <w:lang w:val="cs-CZ"/>
        </w:rPr>
        <w:t xml:space="preserve"> </w:t>
      </w:r>
      <w:proofErr w:type="spellStart"/>
      <w:r>
        <w:rPr>
          <w:rFonts w:asciiTheme="minorHAnsi" w:hAnsiTheme="minorHAnsi"/>
          <w:sz w:val="22"/>
          <w:lang w:val="cs-CZ"/>
        </w:rPr>
        <w:t>while</w:t>
      </w:r>
      <w:proofErr w:type="spellEnd"/>
      <w:r>
        <w:rPr>
          <w:rFonts w:asciiTheme="minorHAnsi" w:hAnsiTheme="minorHAnsi"/>
          <w:sz w:val="22"/>
          <w:lang w:val="cs-CZ"/>
        </w:rPr>
        <w:t xml:space="preserve"> </w:t>
      </w:r>
      <w:proofErr w:type="spellStart"/>
      <w:r>
        <w:rPr>
          <w:rFonts w:asciiTheme="minorHAnsi" w:hAnsiTheme="minorHAnsi"/>
          <w:sz w:val="22"/>
          <w:lang w:val="cs-CZ"/>
        </w:rPr>
        <w:t>the</w:t>
      </w:r>
      <w:proofErr w:type="spellEnd"/>
      <w:r>
        <w:rPr>
          <w:rFonts w:asciiTheme="minorHAnsi" w:hAnsiTheme="minorHAnsi"/>
          <w:sz w:val="22"/>
          <w:lang w:val="cs-CZ"/>
        </w:rPr>
        <w:t xml:space="preserve"> </w:t>
      </w:r>
      <w:proofErr w:type="spellStart"/>
      <w:r>
        <w:rPr>
          <w:rFonts w:asciiTheme="minorHAnsi" w:hAnsiTheme="minorHAnsi"/>
          <w:sz w:val="22"/>
          <w:lang w:val="cs-CZ"/>
        </w:rPr>
        <w:t>national</w:t>
      </w:r>
      <w:proofErr w:type="spellEnd"/>
      <w:r>
        <w:rPr>
          <w:rFonts w:asciiTheme="minorHAnsi" w:hAnsiTheme="minorHAnsi"/>
          <w:sz w:val="22"/>
          <w:lang w:val="cs-CZ"/>
        </w:rPr>
        <w:t xml:space="preserve"> </w:t>
      </w:r>
      <w:proofErr w:type="spellStart"/>
      <w:r>
        <w:rPr>
          <w:rFonts w:asciiTheme="minorHAnsi" w:hAnsiTheme="minorHAnsi"/>
          <w:sz w:val="22"/>
          <w:lang w:val="cs-CZ"/>
        </w:rPr>
        <w:t>level</w:t>
      </w:r>
      <w:proofErr w:type="spellEnd"/>
      <w:r>
        <w:rPr>
          <w:rFonts w:asciiTheme="minorHAnsi" w:hAnsiTheme="minorHAnsi"/>
          <w:sz w:val="22"/>
          <w:lang w:val="cs-CZ"/>
        </w:rPr>
        <w:t xml:space="preserve"> </w:t>
      </w:r>
      <w:proofErr w:type="spellStart"/>
      <w:r>
        <w:rPr>
          <w:rFonts w:asciiTheme="minorHAnsi" w:hAnsiTheme="minorHAnsi"/>
          <w:sz w:val="22"/>
          <w:lang w:val="cs-CZ"/>
        </w:rPr>
        <w:t>documents</w:t>
      </w:r>
      <w:proofErr w:type="spellEnd"/>
      <w:r>
        <w:rPr>
          <w:rFonts w:asciiTheme="minorHAnsi" w:hAnsiTheme="minorHAnsi"/>
          <w:sz w:val="22"/>
          <w:lang w:val="cs-CZ"/>
        </w:rPr>
        <w:t xml:space="preserve"> </w:t>
      </w:r>
      <w:proofErr w:type="spellStart"/>
      <w:r>
        <w:rPr>
          <w:rFonts w:asciiTheme="minorHAnsi" w:hAnsiTheme="minorHAnsi"/>
          <w:sz w:val="22"/>
          <w:lang w:val="cs-CZ"/>
        </w:rPr>
        <w:t>were</w:t>
      </w:r>
      <w:proofErr w:type="spellEnd"/>
      <w:r>
        <w:rPr>
          <w:rFonts w:asciiTheme="minorHAnsi" w:hAnsiTheme="minorHAnsi"/>
          <w:sz w:val="22"/>
          <w:lang w:val="cs-CZ"/>
        </w:rPr>
        <w:t xml:space="preserve"> </w:t>
      </w:r>
      <w:proofErr w:type="spellStart"/>
      <w:r>
        <w:rPr>
          <w:rFonts w:asciiTheme="minorHAnsi" w:hAnsiTheme="minorHAnsi"/>
          <w:sz w:val="22"/>
          <w:lang w:val="cs-CZ"/>
        </w:rPr>
        <w:t>either</w:t>
      </w:r>
      <w:proofErr w:type="spellEnd"/>
      <w:r>
        <w:rPr>
          <w:rFonts w:asciiTheme="minorHAnsi" w:hAnsiTheme="minorHAnsi"/>
          <w:sz w:val="22"/>
          <w:lang w:val="cs-CZ"/>
        </w:rPr>
        <w:t xml:space="preserve"> </w:t>
      </w:r>
      <w:proofErr w:type="spellStart"/>
      <w:r>
        <w:rPr>
          <w:rFonts w:asciiTheme="minorHAnsi" w:hAnsiTheme="minorHAnsi"/>
          <w:sz w:val="22"/>
          <w:lang w:val="cs-CZ"/>
        </w:rPr>
        <w:t>the</w:t>
      </w:r>
      <w:proofErr w:type="spellEnd"/>
      <w:r>
        <w:rPr>
          <w:rFonts w:asciiTheme="minorHAnsi" w:hAnsiTheme="minorHAnsi"/>
          <w:sz w:val="22"/>
          <w:lang w:val="cs-CZ"/>
        </w:rPr>
        <w:t xml:space="preserve"> </w:t>
      </w:r>
      <w:proofErr w:type="spellStart"/>
      <w:r>
        <w:rPr>
          <w:rFonts w:asciiTheme="minorHAnsi" w:hAnsiTheme="minorHAnsi"/>
          <w:sz w:val="22"/>
          <w:lang w:val="cs-CZ"/>
        </w:rPr>
        <w:t>main</w:t>
      </w:r>
      <w:proofErr w:type="spellEnd"/>
      <w:r>
        <w:rPr>
          <w:rFonts w:asciiTheme="minorHAnsi" w:hAnsiTheme="minorHAnsi"/>
          <w:sz w:val="22"/>
          <w:lang w:val="cs-CZ"/>
        </w:rPr>
        <w:t xml:space="preserve"> overal </w:t>
      </w:r>
      <w:proofErr w:type="spellStart"/>
      <w:r>
        <w:rPr>
          <w:rFonts w:asciiTheme="minorHAnsi" w:hAnsiTheme="minorHAnsi"/>
          <w:sz w:val="22"/>
          <w:lang w:val="cs-CZ"/>
        </w:rPr>
        <w:t>strategic</w:t>
      </w:r>
      <w:proofErr w:type="spellEnd"/>
      <w:r>
        <w:rPr>
          <w:rFonts w:asciiTheme="minorHAnsi" w:hAnsiTheme="minorHAnsi"/>
          <w:sz w:val="22"/>
          <w:lang w:val="cs-CZ"/>
        </w:rPr>
        <w:t xml:space="preserve"> </w:t>
      </w:r>
      <w:proofErr w:type="spellStart"/>
      <w:r>
        <w:rPr>
          <w:rFonts w:asciiTheme="minorHAnsi" w:hAnsiTheme="minorHAnsi"/>
          <w:sz w:val="22"/>
          <w:lang w:val="cs-CZ"/>
        </w:rPr>
        <w:t>documents</w:t>
      </w:r>
      <w:proofErr w:type="spellEnd"/>
      <w:r>
        <w:rPr>
          <w:rFonts w:asciiTheme="minorHAnsi" w:hAnsiTheme="minorHAnsi"/>
          <w:sz w:val="22"/>
          <w:lang w:val="cs-CZ"/>
        </w:rPr>
        <w:t xml:space="preserve"> </w:t>
      </w:r>
      <w:proofErr w:type="spellStart"/>
      <w:r>
        <w:rPr>
          <w:rFonts w:asciiTheme="minorHAnsi" w:hAnsiTheme="minorHAnsi"/>
          <w:sz w:val="22"/>
          <w:lang w:val="cs-CZ"/>
        </w:rPr>
        <w:t>of</w:t>
      </w:r>
      <w:proofErr w:type="spellEnd"/>
      <w:r>
        <w:rPr>
          <w:rFonts w:asciiTheme="minorHAnsi" w:hAnsiTheme="minorHAnsi"/>
          <w:sz w:val="22"/>
          <w:lang w:val="cs-CZ"/>
        </w:rPr>
        <w:t xml:space="preserve"> </w:t>
      </w:r>
      <w:proofErr w:type="spellStart"/>
      <w:r>
        <w:rPr>
          <w:rFonts w:asciiTheme="minorHAnsi" w:hAnsiTheme="minorHAnsi"/>
          <w:sz w:val="22"/>
          <w:lang w:val="cs-CZ"/>
        </w:rPr>
        <w:t>the</w:t>
      </w:r>
      <w:proofErr w:type="spellEnd"/>
      <w:r>
        <w:rPr>
          <w:rFonts w:asciiTheme="minorHAnsi" w:hAnsiTheme="minorHAnsi"/>
          <w:sz w:val="22"/>
          <w:lang w:val="cs-CZ"/>
        </w:rPr>
        <w:t xml:space="preserve"> country (</w:t>
      </w:r>
      <w:proofErr w:type="spellStart"/>
      <w:r>
        <w:rPr>
          <w:rFonts w:asciiTheme="minorHAnsi" w:hAnsiTheme="minorHAnsi"/>
          <w:sz w:val="22"/>
          <w:lang w:val="cs-CZ"/>
        </w:rPr>
        <w:t>National</w:t>
      </w:r>
      <w:proofErr w:type="spellEnd"/>
      <w:r>
        <w:rPr>
          <w:rFonts w:asciiTheme="minorHAnsi" w:hAnsiTheme="minorHAnsi"/>
          <w:sz w:val="22"/>
          <w:lang w:val="cs-CZ"/>
        </w:rPr>
        <w:t xml:space="preserve"> </w:t>
      </w:r>
      <w:proofErr w:type="spellStart"/>
      <w:r>
        <w:rPr>
          <w:rFonts w:asciiTheme="minorHAnsi" w:hAnsiTheme="minorHAnsi"/>
          <w:sz w:val="22"/>
          <w:lang w:val="cs-CZ"/>
        </w:rPr>
        <w:t>Reform</w:t>
      </w:r>
      <w:proofErr w:type="spellEnd"/>
      <w:r>
        <w:rPr>
          <w:rFonts w:asciiTheme="minorHAnsi" w:hAnsiTheme="minorHAnsi"/>
          <w:sz w:val="22"/>
          <w:lang w:val="cs-CZ"/>
        </w:rPr>
        <w:t xml:space="preserve"> </w:t>
      </w:r>
      <w:proofErr w:type="spellStart"/>
      <w:r>
        <w:rPr>
          <w:rFonts w:asciiTheme="minorHAnsi" w:hAnsiTheme="minorHAnsi"/>
          <w:sz w:val="22"/>
          <w:lang w:val="cs-CZ"/>
        </w:rPr>
        <w:t>Programmes</w:t>
      </w:r>
      <w:proofErr w:type="spellEnd"/>
      <w:r>
        <w:rPr>
          <w:rFonts w:asciiTheme="minorHAnsi" w:hAnsiTheme="minorHAnsi"/>
          <w:sz w:val="22"/>
          <w:lang w:val="cs-CZ"/>
        </w:rPr>
        <w:t xml:space="preserve">, </w:t>
      </w:r>
      <w:proofErr w:type="spellStart"/>
      <w:r>
        <w:rPr>
          <w:rFonts w:asciiTheme="minorHAnsi" w:hAnsiTheme="minorHAnsi"/>
          <w:sz w:val="22"/>
          <w:lang w:val="cs-CZ"/>
        </w:rPr>
        <w:t>Government</w:t>
      </w:r>
      <w:proofErr w:type="spellEnd"/>
      <w:r>
        <w:rPr>
          <w:rFonts w:asciiTheme="minorHAnsi" w:hAnsiTheme="minorHAnsi"/>
          <w:sz w:val="22"/>
          <w:lang w:val="cs-CZ"/>
        </w:rPr>
        <w:t xml:space="preserve"> </w:t>
      </w:r>
      <w:proofErr w:type="spellStart"/>
      <w:r>
        <w:rPr>
          <w:rFonts w:asciiTheme="minorHAnsi" w:hAnsiTheme="minorHAnsi"/>
          <w:sz w:val="22"/>
          <w:lang w:val="cs-CZ"/>
        </w:rPr>
        <w:t>Programme</w:t>
      </w:r>
      <w:proofErr w:type="spellEnd"/>
      <w:r>
        <w:rPr>
          <w:rFonts w:asciiTheme="minorHAnsi" w:hAnsiTheme="minorHAnsi"/>
          <w:sz w:val="22"/>
          <w:lang w:val="en-GB"/>
        </w:rPr>
        <w:t xml:space="preserve">) </w:t>
      </w:r>
      <w:proofErr w:type="spellStart"/>
      <w:r>
        <w:rPr>
          <w:rFonts w:asciiTheme="minorHAnsi" w:hAnsiTheme="minorHAnsi"/>
          <w:sz w:val="22"/>
          <w:lang w:val="cs-CZ"/>
        </w:rPr>
        <w:t>or</w:t>
      </w:r>
      <w:proofErr w:type="spellEnd"/>
      <w:r>
        <w:rPr>
          <w:rFonts w:asciiTheme="minorHAnsi" w:hAnsiTheme="minorHAnsi"/>
          <w:sz w:val="22"/>
          <w:lang w:val="cs-CZ"/>
        </w:rPr>
        <w:t xml:space="preserve"> </w:t>
      </w:r>
      <w:proofErr w:type="spellStart"/>
      <w:r>
        <w:rPr>
          <w:rFonts w:asciiTheme="minorHAnsi" w:hAnsiTheme="minorHAnsi"/>
          <w:sz w:val="22"/>
          <w:lang w:val="cs-CZ"/>
        </w:rPr>
        <w:t>specific</w:t>
      </w:r>
      <w:proofErr w:type="spellEnd"/>
      <w:r>
        <w:rPr>
          <w:rFonts w:asciiTheme="minorHAnsi" w:hAnsiTheme="minorHAnsi"/>
          <w:sz w:val="22"/>
          <w:lang w:val="cs-CZ"/>
        </w:rPr>
        <w:t xml:space="preserve"> LLL </w:t>
      </w:r>
      <w:proofErr w:type="spellStart"/>
      <w:r>
        <w:rPr>
          <w:rFonts w:asciiTheme="minorHAnsi" w:hAnsiTheme="minorHAnsi"/>
          <w:sz w:val="22"/>
          <w:lang w:val="cs-CZ"/>
        </w:rPr>
        <w:t>documents</w:t>
      </w:r>
      <w:proofErr w:type="spellEnd"/>
      <w:r>
        <w:rPr>
          <w:rFonts w:asciiTheme="minorHAnsi" w:hAnsiTheme="minorHAnsi"/>
          <w:sz w:val="22"/>
          <w:lang w:val="cs-CZ"/>
        </w:rPr>
        <w:t>.</w:t>
      </w:r>
    </w:p>
    <w:p w:rsidR="008C7251" w:rsidRPr="00BA0DCD" w:rsidRDefault="008C7251" w:rsidP="00861C46">
      <w:pPr>
        <w:rPr>
          <w:rFonts w:asciiTheme="minorHAnsi" w:hAnsiTheme="minorHAnsi"/>
          <w:sz w:val="22"/>
          <w:lang w:val="en-GB"/>
        </w:rPr>
      </w:pPr>
    </w:p>
    <w:tbl>
      <w:tblPr>
        <w:tblW w:w="8931" w:type="dxa"/>
        <w:tblLayout w:type="fixed"/>
        <w:tblCellMar>
          <w:left w:w="0" w:type="dxa"/>
          <w:right w:w="0" w:type="dxa"/>
        </w:tblCellMar>
        <w:tblLook w:val="04A0"/>
      </w:tblPr>
      <w:tblGrid>
        <w:gridCol w:w="3261"/>
        <w:gridCol w:w="1985"/>
        <w:gridCol w:w="1843"/>
        <w:gridCol w:w="1842"/>
      </w:tblGrid>
      <w:tr w:rsidR="004A5463" w:rsidRPr="00BA0DCD" w:rsidTr="004A5463">
        <w:trPr>
          <w:trHeight w:val="315"/>
        </w:trPr>
        <w:tc>
          <w:tcPr>
            <w:tcW w:w="3261" w:type="dxa"/>
            <w:tcBorders>
              <w:top w:val="nil"/>
              <w:left w:val="nil"/>
              <w:bottom w:val="nil"/>
              <w:right w:val="nil"/>
            </w:tcBorders>
            <w:shd w:val="clear" w:color="auto" w:fill="auto"/>
            <w:noWrap/>
            <w:vAlign w:val="center"/>
            <w:hideMark/>
          </w:tcPr>
          <w:p w:rsidR="004A5463" w:rsidRPr="00BA0DCD" w:rsidRDefault="004A5463" w:rsidP="00BB7BD6">
            <w:pPr>
              <w:jc w:val="right"/>
              <w:rPr>
                <w:rFonts w:ascii="Calibri" w:hAnsi="Calibri"/>
                <w:color w:val="000000"/>
                <w:sz w:val="22"/>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463" w:rsidRPr="00BA0DCD" w:rsidRDefault="004A5463" w:rsidP="00BB7BD6">
            <w:pPr>
              <w:jc w:val="center"/>
              <w:rPr>
                <w:rFonts w:ascii="Calibri" w:hAnsi="Calibri"/>
                <w:color w:val="000000"/>
                <w:sz w:val="22"/>
                <w:lang w:val="en-GB"/>
              </w:rPr>
            </w:pPr>
            <w:r w:rsidRPr="00BA0DCD">
              <w:rPr>
                <w:rFonts w:ascii="Calibri" w:hAnsi="Calibri"/>
                <w:color w:val="000000"/>
                <w:sz w:val="22"/>
                <w:lang w:val="en-GB"/>
              </w:rPr>
              <w:t>Slovakia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A5463" w:rsidRPr="00BA0DCD" w:rsidRDefault="00453CC5" w:rsidP="00BB7BD6">
            <w:pPr>
              <w:jc w:val="center"/>
              <w:rPr>
                <w:rFonts w:ascii="Calibri" w:hAnsi="Calibri"/>
                <w:color w:val="000000"/>
                <w:sz w:val="22"/>
                <w:lang w:val="en-GB"/>
              </w:rPr>
            </w:pPr>
            <w:proofErr w:type="spellStart"/>
            <w:r w:rsidRPr="00BA0DCD">
              <w:rPr>
                <w:rFonts w:ascii="Calibri" w:hAnsi="Calibri"/>
                <w:color w:val="000000"/>
                <w:sz w:val="22"/>
                <w:lang w:val="en-GB"/>
              </w:rPr>
              <w:t>Bratislavsky</w:t>
            </w:r>
            <w:proofErr w:type="spellEnd"/>
            <w:r w:rsidR="00184792" w:rsidRPr="00BA0DCD">
              <w:rPr>
                <w:rFonts w:ascii="Calibri" w:hAnsi="Calibri"/>
                <w:color w:val="000000"/>
                <w:sz w:val="22"/>
                <w:lang w:val="en-GB"/>
              </w:rPr>
              <w:t xml:space="preserve"> </w:t>
            </w:r>
            <w:proofErr w:type="spellStart"/>
            <w:r w:rsidR="00184792" w:rsidRPr="00BA0DCD">
              <w:rPr>
                <w:rFonts w:ascii="Calibri" w:hAnsi="Calibri"/>
                <w:color w:val="000000"/>
                <w:sz w:val="22"/>
                <w:lang w:val="en-GB"/>
              </w:rPr>
              <w:t>kraj</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4A5463" w:rsidRPr="00BA0DCD" w:rsidRDefault="00453CC5" w:rsidP="00BB7BD6">
            <w:pPr>
              <w:jc w:val="center"/>
              <w:rPr>
                <w:rFonts w:ascii="Calibri" w:hAnsi="Calibri"/>
                <w:color w:val="000000"/>
                <w:sz w:val="22"/>
                <w:lang w:val="en-GB"/>
              </w:rPr>
            </w:pPr>
            <w:proofErr w:type="spellStart"/>
            <w:r w:rsidRPr="00BA0DCD">
              <w:rPr>
                <w:rFonts w:ascii="Calibri" w:hAnsi="Calibri"/>
                <w:color w:val="000000"/>
                <w:sz w:val="22"/>
                <w:lang w:val="en-GB"/>
              </w:rPr>
              <w:t>Presovsky</w:t>
            </w:r>
            <w:proofErr w:type="spellEnd"/>
            <w:r w:rsidR="00184792" w:rsidRPr="00BA0DCD">
              <w:rPr>
                <w:rFonts w:ascii="Calibri" w:hAnsi="Calibri"/>
                <w:color w:val="000000"/>
                <w:sz w:val="22"/>
                <w:lang w:val="en-GB"/>
              </w:rPr>
              <w:t xml:space="preserve"> </w:t>
            </w:r>
            <w:proofErr w:type="spellStart"/>
            <w:r w:rsidR="00184792" w:rsidRPr="00BA0DCD">
              <w:rPr>
                <w:rFonts w:ascii="Calibri" w:hAnsi="Calibri"/>
                <w:color w:val="000000"/>
                <w:sz w:val="22"/>
                <w:lang w:val="en-GB"/>
              </w:rPr>
              <w:t>kraj</w:t>
            </w:r>
            <w:proofErr w:type="spellEnd"/>
          </w:p>
        </w:tc>
      </w:tr>
      <w:tr w:rsidR="004A5463" w:rsidRPr="00BA0DCD" w:rsidTr="004A5463">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463" w:rsidRPr="00BA0DCD" w:rsidRDefault="004A5463" w:rsidP="002137CA">
            <w:pPr>
              <w:jc w:val="right"/>
              <w:rPr>
                <w:rFonts w:ascii="Calibri" w:hAnsi="Calibri"/>
                <w:color w:val="000000"/>
                <w:sz w:val="22"/>
                <w:lang w:val="en-GB"/>
              </w:rPr>
            </w:pPr>
            <w:r w:rsidRPr="00BA0DCD">
              <w:rPr>
                <w:rFonts w:ascii="Calibri" w:hAnsi="Calibri"/>
                <w:color w:val="000000"/>
                <w:sz w:val="22"/>
                <w:lang w:val="en-GB"/>
              </w:rPr>
              <w:t>Population (201</w:t>
            </w:r>
            <w:r w:rsidR="002137CA" w:rsidRPr="00BA0DCD">
              <w:rPr>
                <w:rFonts w:ascii="Calibri" w:hAnsi="Calibri"/>
                <w:color w:val="000000"/>
                <w:sz w:val="22"/>
                <w:lang w:val="en-GB"/>
              </w:rPr>
              <w:t>3</w:t>
            </w:r>
            <w:r w:rsidRPr="00BA0DCD">
              <w:rPr>
                <w:rFonts w:ascii="Calibri" w:hAnsi="Calibri"/>
                <w:color w:val="000000"/>
                <w:sz w:val="22"/>
                <w:lang w:val="en-GB"/>
              </w:rPr>
              <w:t xml:space="preserve">) </w:t>
            </w:r>
          </w:p>
        </w:tc>
        <w:tc>
          <w:tcPr>
            <w:tcW w:w="1985" w:type="dxa"/>
            <w:tcBorders>
              <w:top w:val="nil"/>
              <w:left w:val="nil"/>
              <w:bottom w:val="nil"/>
              <w:right w:val="nil"/>
            </w:tcBorders>
            <w:shd w:val="clear" w:color="auto" w:fill="auto"/>
            <w:noWrap/>
            <w:vAlign w:val="center"/>
            <w:hideMark/>
          </w:tcPr>
          <w:p w:rsidR="004A5463" w:rsidRPr="00BA0DCD" w:rsidRDefault="00514578" w:rsidP="00514578">
            <w:pPr>
              <w:jc w:val="center"/>
              <w:rPr>
                <w:rFonts w:asciiTheme="minorHAnsi" w:hAnsiTheme="minorHAnsi"/>
                <w:color w:val="000000"/>
                <w:sz w:val="22"/>
                <w:lang w:val="en-GB"/>
              </w:rPr>
            </w:pPr>
            <w:r w:rsidRPr="00BA0DCD">
              <w:rPr>
                <w:rStyle w:val="Siln"/>
                <w:rFonts w:asciiTheme="minorHAnsi" w:hAnsiTheme="minorHAnsi"/>
                <w:b w:val="0"/>
                <w:sz w:val="22"/>
              </w:rPr>
              <w:t>5 421 034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A5463" w:rsidRPr="00BA0DCD" w:rsidRDefault="00514578" w:rsidP="00BB7BD6">
            <w:pPr>
              <w:jc w:val="center"/>
              <w:rPr>
                <w:rFonts w:asciiTheme="minorHAnsi" w:hAnsiTheme="minorHAnsi"/>
                <w:color w:val="000000"/>
                <w:sz w:val="22"/>
                <w:lang w:val="en-GB"/>
              </w:rPr>
            </w:pPr>
            <w:r w:rsidRPr="00BA0DCD">
              <w:rPr>
                <w:rFonts w:asciiTheme="minorHAnsi" w:hAnsiTheme="minorHAnsi"/>
                <w:sz w:val="22"/>
              </w:rPr>
              <w:t>606 537</w:t>
            </w:r>
          </w:p>
        </w:tc>
        <w:tc>
          <w:tcPr>
            <w:tcW w:w="1842" w:type="dxa"/>
            <w:tcBorders>
              <w:top w:val="nil"/>
              <w:left w:val="nil"/>
              <w:bottom w:val="single" w:sz="4" w:space="0" w:color="auto"/>
              <w:right w:val="single" w:sz="4" w:space="0" w:color="auto"/>
            </w:tcBorders>
            <w:shd w:val="clear" w:color="auto" w:fill="auto"/>
            <w:noWrap/>
            <w:vAlign w:val="center"/>
            <w:hideMark/>
          </w:tcPr>
          <w:p w:rsidR="004A5463" w:rsidRPr="00BA0DCD" w:rsidRDefault="00514578" w:rsidP="00BB7BD6">
            <w:pPr>
              <w:jc w:val="center"/>
              <w:rPr>
                <w:rFonts w:asciiTheme="minorHAnsi" w:hAnsiTheme="minorHAnsi"/>
                <w:color w:val="000000"/>
                <w:sz w:val="22"/>
                <w:lang w:val="en-GB"/>
              </w:rPr>
            </w:pPr>
            <w:r w:rsidRPr="00BA0DCD">
              <w:rPr>
                <w:rFonts w:asciiTheme="minorHAnsi" w:hAnsiTheme="minorHAnsi"/>
                <w:sz w:val="22"/>
              </w:rPr>
              <w:t>818 916</w:t>
            </w:r>
          </w:p>
        </w:tc>
      </w:tr>
      <w:tr w:rsidR="004A5463" w:rsidRPr="00BA0DCD" w:rsidTr="004A5463">
        <w:trPr>
          <w:trHeight w:val="3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4A5463" w:rsidRPr="00BA0DCD" w:rsidRDefault="004A5463" w:rsidP="00BB7BD6">
            <w:pPr>
              <w:jc w:val="right"/>
              <w:rPr>
                <w:rFonts w:ascii="Calibri" w:hAnsi="Calibri"/>
                <w:color w:val="000000"/>
                <w:sz w:val="22"/>
                <w:lang w:val="en-GB"/>
              </w:rPr>
            </w:pPr>
            <w:r w:rsidRPr="00BA0DCD">
              <w:rPr>
                <w:rFonts w:ascii="Calibri" w:hAnsi="Calibri"/>
                <w:color w:val="000000"/>
                <w:sz w:val="22"/>
                <w:lang w:val="en-GB"/>
              </w:rPr>
              <w:t>Area in km2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A5463" w:rsidRPr="00BA0DCD" w:rsidRDefault="000E415F" w:rsidP="00BB7BD6">
            <w:pPr>
              <w:jc w:val="center"/>
              <w:rPr>
                <w:rFonts w:asciiTheme="minorHAnsi" w:hAnsiTheme="minorHAnsi"/>
                <w:color w:val="000000"/>
                <w:sz w:val="22"/>
                <w:lang w:val="en-GB"/>
              </w:rPr>
            </w:pPr>
            <w:r w:rsidRPr="00BA0DCD">
              <w:rPr>
                <w:rFonts w:asciiTheme="minorHAnsi" w:hAnsiTheme="minorHAnsi"/>
                <w:color w:val="000000"/>
                <w:sz w:val="22"/>
                <w:lang w:val="en-GB"/>
              </w:rPr>
              <w:t>49 035,30 km</w:t>
            </w:r>
            <w:r w:rsidRPr="00BA0DCD">
              <w:rPr>
                <w:rFonts w:asciiTheme="minorHAnsi" w:hAnsiTheme="minorHAnsi"/>
                <w:sz w:val="22"/>
                <w:vertAlign w:val="superscript"/>
              </w:rPr>
              <w:t>2</w:t>
            </w:r>
          </w:p>
        </w:tc>
        <w:tc>
          <w:tcPr>
            <w:tcW w:w="1843" w:type="dxa"/>
            <w:tcBorders>
              <w:top w:val="nil"/>
              <w:left w:val="nil"/>
              <w:bottom w:val="nil"/>
              <w:right w:val="nil"/>
            </w:tcBorders>
            <w:shd w:val="clear" w:color="auto" w:fill="auto"/>
            <w:noWrap/>
            <w:vAlign w:val="center"/>
            <w:hideMark/>
          </w:tcPr>
          <w:p w:rsidR="004A5463" w:rsidRPr="00BA0DCD" w:rsidRDefault="00514578" w:rsidP="002137CA">
            <w:pPr>
              <w:jc w:val="center"/>
              <w:rPr>
                <w:rFonts w:asciiTheme="minorHAnsi" w:hAnsiTheme="minorHAnsi"/>
                <w:color w:val="000000"/>
                <w:sz w:val="22"/>
                <w:lang w:val="en-GB"/>
              </w:rPr>
            </w:pPr>
            <w:r w:rsidRPr="00BA0DCD">
              <w:rPr>
                <w:rFonts w:asciiTheme="minorHAnsi" w:hAnsiTheme="minorHAnsi"/>
                <w:sz w:val="22"/>
              </w:rPr>
              <w:t>2 052,62 km</w:t>
            </w:r>
            <w:r w:rsidR="002137CA" w:rsidRPr="00BA0DCD">
              <w:rPr>
                <w:rFonts w:asciiTheme="minorHAnsi" w:hAnsiTheme="minorHAnsi"/>
                <w:sz w:val="22"/>
                <w:vertAlign w:val="superscript"/>
              </w:rPr>
              <w:t>2</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4A5463" w:rsidRPr="00BA0DCD" w:rsidRDefault="00514578" w:rsidP="00BB7BD6">
            <w:pPr>
              <w:jc w:val="center"/>
              <w:rPr>
                <w:rFonts w:asciiTheme="minorHAnsi" w:hAnsiTheme="minorHAnsi"/>
                <w:color w:val="000000"/>
                <w:sz w:val="22"/>
                <w:lang w:val="en-GB"/>
              </w:rPr>
            </w:pPr>
            <w:r w:rsidRPr="00BA0DCD">
              <w:rPr>
                <w:rFonts w:asciiTheme="minorHAnsi" w:hAnsiTheme="minorHAnsi"/>
                <w:sz w:val="22"/>
              </w:rPr>
              <w:t>8</w:t>
            </w:r>
            <w:r w:rsidR="000E415F" w:rsidRPr="00BA0DCD">
              <w:rPr>
                <w:rFonts w:asciiTheme="minorHAnsi" w:hAnsiTheme="minorHAnsi"/>
                <w:sz w:val="22"/>
              </w:rPr>
              <w:t> </w:t>
            </w:r>
            <w:r w:rsidRPr="00BA0DCD">
              <w:rPr>
                <w:rFonts w:asciiTheme="minorHAnsi" w:hAnsiTheme="minorHAnsi"/>
                <w:sz w:val="22"/>
              </w:rPr>
              <w:t>973</w:t>
            </w:r>
            <w:r w:rsidR="000E415F" w:rsidRPr="00BA0DCD">
              <w:rPr>
                <w:rFonts w:asciiTheme="minorHAnsi" w:hAnsiTheme="minorHAnsi"/>
                <w:sz w:val="22"/>
              </w:rPr>
              <w:t>,36</w:t>
            </w:r>
            <w:r w:rsidRPr="00BA0DCD">
              <w:rPr>
                <w:rFonts w:asciiTheme="minorHAnsi" w:hAnsiTheme="minorHAnsi"/>
                <w:sz w:val="22"/>
              </w:rPr>
              <w:t xml:space="preserve"> km</w:t>
            </w:r>
            <w:r w:rsidRPr="00BA0DCD">
              <w:rPr>
                <w:rFonts w:asciiTheme="minorHAnsi" w:hAnsiTheme="minorHAnsi"/>
                <w:sz w:val="22"/>
                <w:vertAlign w:val="superscript"/>
              </w:rPr>
              <w:t>2</w:t>
            </w:r>
          </w:p>
        </w:tc>
      </w:tr>
      <w:tr w:rsidR="004A5463" w:rsidRPr="00BA0DCD" w:rsidTr="004A5463">
        <w:trPr>
          <w:trHeight w:val="3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4A5463" w:rsidRPr="00BA0DCD" w:rsidRDefault="004A5463" w:rsidP="00BB7BD6">
            <w:pPr>
              <w:jc w:val="right"/>
              <w:rPr>
                <w:rFonts w:ascii="Calibri" w:hAnsi="Calibri"/>
                <w:color w:val="000000"/>
                <w:sz w:val="22"/>
                <w:lang w:val="en-GB"/>
              </w:rPr>
            </w:pPr>
            <w:r w:rsidRPr="00BA0DCD">
              <w:rPr>
                <w:rFonts w:ascii="Calibri" w:hAnsi="Calibri"/>
                <w:color w:val="000000"/>
                <w:sz w:val="22"/>
                <w:lang w:val="en-GB"/>
              </w:rPr>
              <w:t>GDP/capita (2011, in PPS)</w:t>
            </w:r>
          </w:p>
        </w:tc>
        <w:tc>
          <w:tcPr>
            <w:tcW w:w="1985" w:type="dxa"/>
            <w:tcBorders>
              <w:top w:val="nil"/>
              <w:left w:val="nil"/>
              <w:bottom w:val="single" w:sz="4" w:space="0" w:color="auto"/>
              <w:right w:val="single" w:sz="4" w:space="0" w:color="auto"/>
            </w:tcBorders>
            <w:shd w:val="clear" w:color="auto" w:fill="auto"/>
            <w:noWrap/>
            <w:vAlign w:val="center"/>
            <w:hideMark/>
          </w:tcPr>
          <w:p w:rsidR="004A5463" w:rsidRPr="00BA0DCD" w:rsidRDefault="00026631" w:rsidP="00BB7BD6">
            <w:pPr>
              <w:jc w:val="center"/>
              <w:rPr>
                <w:rFonts w:ascii="Calibri" w:hAnsi="Calibri"/>
                <w:color w:val="000000"/>
                <w:sz w:val="22"/>
                <w:lang w:val="en-GB"/>
              </w:rPr>
            </w:pPr>
            <w:r w:rsidRPr="00BA0DCD">
              <w:rPr>
                <w:rFonts w:ascii="Calibri" w:hAnsi="Calibri"/>
                <w:color w:val="000000"/>
                <w:sz w:val="22"/>
                <w:lang w:val="en-GB"/>
              </w:rPr>
              <w:t>75,4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A5463" w:rsidRPr="00BA0DCD" w:rsidRDefault="00026631" w:rsidP="00BB7BD6">
            <w:pPr>
              <w:jc w:val="center"/>
              <w:rPr>
                <w:rFonts w:ascii="Calibri" w:hAnsi="Calibri"/>
                <w:color w:val="000000"/>
                <w:sz w:val="22"/>
                <w:lang w:val="en-GB"/>
              </w:rPr>
            </w:pPr>
            <w:r w:rsidRPr="00BA0DCD">
              <w:rPr>
                <w:rFonts w:ascii="Calibri" w:hAnsi="Calibri"/>
                <w:color w:val="000000"/>
                <w:sz w:val="22"/>
                <w:lang w:val="en-GB"/>
              </w:rPr>
              <w:t>186,1</w:t>
            </w:r>
          </w:p>
        </w:tc>
        <w:tc>
          <w:tcPr>
            <w:tcW w:w="1842" w:type="dxa"/>
            <w:tcBorders>
              <w:top w:val="nil"/>
              <w:left w:val="nil"/>
              <w:bottom w:val="single" w:sz="4" w:space="0" w:color="auto"/>
              <w:right w:val="single" w:sz="4" w:space="0" w:color="auto"/>
            </w:tcBorders>
            <w:shd w:val="clear" w:color="auto" w:fill="auto"/>
            <w:noWrap/>
            <w:vAlign w:val="center"/>
            <w:hideMark/>
          </w:tcPr>
          <w:p w:rsidR="004A5463" w:rsidRPr="00BA0DCD" w:rsidRDefault="00026631" w:rsidP="00BB7BD6">
            <w:pPr>
              <w:jc w:val="center"/>
              <w:rPr>
                <w:rFonts w:ascii="Calibri" w:hAnsi="Calibri"/>
                <w:color w:val="000000"/>
                <w:sz w:val="22"/>
                <w:lang w:val="en-GB"/>
              </w:rPr>
            </w:pPr>
            <w:r w:rsidRPr="00BA0DCD">
              <w:rPr>
                <w:rFonts w:ascii="Calibri" w:hAnsi="Calibri"/>
                <w:color w:val="000000"/>
                <w:sz w:val="22"/>
                <w:lang w:val="en-GB"/>
              </w:rPr>
              <w:t>44,1</w:t>
            </w:r>
          </w:p>
        </w:tc>
      </w:tr>
      <w:tr w:rsidR="004A5463" w:rsidRPr="00BA0DCD" w:rsidTr="004A5463">
        <w:trPr>
          <w:trHeight w:val="3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4A5463" w:rsidRPr="00BA0DCD" w:rsidRDefault="004A5463" w:rsidP="00BB7BD6">
            <w:pPr>
              <w:jc w:val="right"/>
              <w:rPr>
                <w:rFonts w:ascii="Calibri" w:hAnsi="Calibri"/>
                <w:color w:val="000000"/>
                <w:sz w:val="22"/>
                <w:lang w:val="en-GB"/>
              </w:rPr>
            </w:pPr>
            <w:r w:rsidRPr="00BA0DCD">
              <w:rPr>
                <w:rFonts w:ascii="Calibri" w:hAnsi="Calibri"/>
                <w:color w:val="000000"/>
                <w:sz w:val="22"/>
                <w:lang w:val="en-GB"/>
              </w:rPr>
              <w:t>ESF Region Type 2007-2013</w:t>
            </w:r>
          </w:p>
        </w:tc>
        <w:tc>
          <w:tcPr>
            <w:tcW w:w="1985" w:type="dxa"/>
            <w:tcBorders>
              <w:top w:val="nil"/>
              <w:left w:val="nil"/>
              <w:bottom w:val="single" w:sz="4" w:space="0" w:color="auto"/>
              <w:right w:val="single" w:sz="4" w:space="0" w:color="auto"/>
            </w:tcBorders>
            <w:shd w:val="clear" w:color="000000" w:fill="808080"/>
            <w:noWrap/>
            <w:vAlign w:val="center"/>
            <w:hideMark/>
          </w:tcPr>
          <w:p w:rsidR="004A5463" w:rsidRPr="00BA0DCD" w:rsidRDefault="004A5463" w:rsidP="00BB7BD6">
            <w:pPr>
              <w:jc w:val="center"/>
              <w:rPr>
                <w:rFonts w:ascii="Calibri" w:hAnsi="Calibri"/>
                <w:color w:val="000000"/>
                <w:sz w:val="22"/>
                <w:lang w:val="en-GB"/>
              </w:rPr>
            </w:pPr>
          </w:p>
        </w:tc>
        <w:tc>
          <w:tcPr>
            <w:tcW w:w="1843" w:type="dxa"/>
            <w:tcBorders>
              <w:top w:val="nil"/>
              <w:left w:val="nil"/>
              <w:bottom w:val="single" w:sz="4" w:space="0" w:color="auto"/>
              <w:right w:val="single" w:sz="4" w:space="0" w:color="auto"/>
            </w:tcBorders>
            <w:shd w:val="clear" w:color="auto" w:fill="auto"/>
            <w:noWrap/>
            <w:vAlign w:val="center"/>
            <w:hideMark/>
          </w:tcPr>
          <w:p w:rsidR="004A5463" w:rsidRPr="00BA0DCD" w:rsidRDefault="004A5463" w:rsidP="00BB7BD6">
            <w:pPr>
              <w:jc w:val="center"/>
              <w:rPr>
                <w:rFonts w:ascii="Calibri" w:hAnsi="Calibri"/>
                <w:color w:val="000000"/>
                <w:sz w:val="22"/>
                <w:lang w:val="en-GB"/>
              </w:rPr>
            </w:pPr>
            <w:r w:rsidRPr="00BA0DCD">
              <w:rPr>
                <w:rFonts w:ascii="Calibri" w:hAnsi="Calibri"/>
                <w:color w:val="000000"/>
                <w:sz w:val="22"/>
                <w:lang w:val="en-GB"/>
              </w:rPr>
              <w:t>competitiveness</w:t>
            </w:r>
          </w:p>
        </w:tc>
        <w:tc>
          <w:tcPr>
            <w:tcW w:w="1842" w:type="dxa"/>
            <w:tcBorders>
              <w:top w:val="nil"/>
              <w:left w:val="nil"/>
              <w:bottom w:val="single" w:sz="4" w:space="0" w:color="auto"/>
              <w:right w:val="single" w:sz="4" w:space="0" w:color="auto"/>
            </w:tcBorders>
            <w:shd w:val="clear" w:color="auto" w:fill="auto"/>
            <w:noWrap/>
            <w:vAlign w:val="center"/>
            <w:hideMark/>
          </w:tcPr>
          <w:p w:rsidR="004A5463" w:rsidRPr="00BA0DCD" w:rsidRDefault="00D86BFF" w:rsidP="00BB7BD6">
            <w:pPr>
              <w:jc w:val="center"/>
              <w:rPr>
                <w:rFonts w:ascii="Calibri" w:hAnsi="Calibri"/>
                <w:color w:val="000000"/>
                <w:sz w:val="22"/>
                <w:lang w:val="en-GB"/>
              </w:rPr>
            </w:pPr>
            <w:r w:rsidRPr="00BA0DCD">
              <w:rPr>
                <w:rFonts w:ascii="Calibri" w:hAnsi="Calibri"/>
                <w:color w:val="000000"/>
                <w:sz w:val="22"/>
                <w:lang w:val="en-GB"/>
              </w:rPr>
              <w:t>C</w:t>
            </w:r>
            <w:r w:rsidR="004A5463" w:rsidRPr="00BA0DCD">
              <w:rPr>
                <w:rFonts w:ascii="Calibri" w:hAnsi="Calibri"/>
                <w:color w:val="000000"/>
                <w:sz w:val="22"/>
                <w:lang w:val="en-GB"/>
              </w:rPr>
              <w:t>onvergence</w:t>
            </w:r>
          </w:p>
        </w:tc>
      </w:tr>
      <w:tr w:rsidR="004A5463" w:rsidRPr="00BA0DCD" w:rsidTr="004A5463">
        <w:trPr>
          <w:trHeight w:val="3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4A5463" w:rsidRPr="00BA0DCD" w:rsidRDefault="004A5463" w:rsidP="00BB7BD6">
            <w:pPr>
              <w:jc w:val="right"/>
              <w:rPr>
                <w:rFonts w:ascii="Calibri" w:hAnsi="Calibri"/>
                <w:color w:val="000000"/>
                <w:sz w:val="22"/>
                <w:lang w:val="en-GB"/>
              </w:rPr>
            </w:pPr>
            <w:r w:rsidRPr="00BA0DCD">
              <w:rPr>
                <w:rFonts w:ascii="Calibri" w:hAnsi="Calibri"/>
                <w:color w:val="000000"/>
                <w:sz w:val="22"/>
                <w:lang w:val="en-GB"/>
              </w:rPr>
              <w:t>ESF Region Type 2014-2020</w:t>
            </w:r>
          </w:p>
        </w:tc>
        <w:tc>
          <w:tcPr>
            <w:tcW w:w="1985" w:type="dxa"/>
            <w:tcBorders>
              <w:top w:val="nil"/>
              <w:left w:val="nil"/>
              <w:bottom w:val="single" w:sz="4" w:space="0" w:color="auto"/>
              <w:right w:val="single" w:sz="4" w:space="0" w:color="auto"/>
            </w:tcBorders>
            <w:shd w:val="clear" w:color="000000" w:fill="808080"/>
            <w:noWrap/>
            <w:vAlign w:val="center"/>
            <w:hideMark/>
          </w:tcPr>
          <w:p w:rsidR="004A5463" w:rsidRPr="00BA0DCD" w:rsidRDefault="004A5463" w:rsidP="00BB7BD6">
            <w:pPr>
              <w:jc w:val="center"/>
              <w:rPr>
                <w:rFonts w:ascii="Calibri" w:hAnsi="Calibri"/>
                <w:color w:val="000000"/>
                <w:sz w:val="22"/>
                <w:lang w:val="en-GB"/>
              </w:rPr>
            </w:pPr>
          </w:p>
        </w:tc>
        <w:tc>
          <w:tcPr>
            <w:tcW w:w="1843" w:type="dxa"/>
            <w:tcBorders>
              <w:top w:val="nil"/>
              <w:left w:val="nil"/>
              <w:bottom w:val="single" w:sz="4" w:space="0" w:color="auto"/>
              <w:right w:val="single" w:sz="4" w:space="0" w:color="auto"/>
            </w:tcBorders>
            <w:shd w:val="clear" w:color="auto" w:fill="auto"/>
            <w:noWrap/>
            <w:vAlign w:val="center"/>
            <w:hideMark/>
          </w:tcPr>
          <w:p w:rsidR="004A5463" w:rsidRPr="00BA0DCD" w:rsidRDefault="00184792" w:rsidP="00184792">
            <w:pPr>
              <w:jc w:val="center"/>
              <w:rPr>
                <w:rFonts w:ascii="Calibri" w:hAnsi="Calibri"/>
                <w:color w:val="000000"/>
                <w:sz w:val="22"/>
                <w:lang w:val="en-GB"/>
              </w:rPr>
            </w:pPr>
            <w:r w:rsidRPr="00BA0DCD">
              <w:rPr>
                <w:rFonts w:ascii="Calibri" w:hAnsi="Calibri"/>
                <w:color w:val="000000"/>
                <w:sz w:val="22"/>
                <w:lang w:val="en-GB"/>
              </w:rPr>
              <w:t>Transition region</w:t>
            </w:r>
          </w:p>
        </w:tc>
        <w:tc>
          <w:tcPr>
            <w:tcW w:w="1842" w:type="dxa"/>
            <w:tcBorders>
              <w:top w:val="nil"/>
              <w:left w:val="nil"/>
              <w:bottom w:val="single" w:sz="4" w:space="0" w:color="auto"/>
              <w:right w:val="single" w:sz="4" w:space="0" w:color="auto"/>
            </w:tcBorders>
            <w:shd w:val="clear" w:color="auto" w:fill="auto"/>
            <w:noWrap/>
            <w:vAlign w:val="center"/>
            <w:hideMark/>
          </w:tcPr>
          <w:p w:rsidR="004A5463" w:rsidRPr="00BA0DCD" w:rsidRDefault="00184792" w:rsidP="004A5463">
            <w:pPr>
              <w:jc w:val="center"/>
              <w:rPr>
                <w:rFonts w:ascii="Calibri" w:hAnsi="Calibri"/>
                <w:color w:val="000000"/>
                <w:sz w:val="22"/>
                <w:lang w:val="en-GB"/>
              </w:rPr>
            </w:pPr>
            <w:r w:rsidRPr="00BA0DCD">
              <w:rPr>
                <w:rFonts w:ascii="Calibri" w:hAnsi="Calibri"/>
                <w:color w:val="000000"/>
                <w:sz w:val="22"/>
                <w:lang w:val="en-GB"/>
              </w:rPr>
              <w:t>L</w:t>
            </w:r>
            <w:r w:rsidR="004A5463" w:rsidRPr="00BA0DCD">
              <w:rPr>
                <w:rFonts w:ascii="Calibri" w:hAnsi="Calibri"/>
                <w:color w:val="000000"/>
                <w:sz w:val="22"/>
                <w:lang w:val="en-GB"/>
              </w:rPr>
              <w:t xml:space="preserve">ess developed </w:t>
            </w:r>
            <w:proofErr w:type="spellStart"/>
            <w:r w:rsidRPr="00BA0DCD">
              <w:rPr>
                <w:rFonts w:ascii="Calibri" w:hAnsi="Calibri"/>
                <w:color w:val="000000"/>
                <w:sz w:val="22"/>
                <w:lang w:val="en-GB"/>
              </w:rPr>
              <w:t>reg</w:t>
            </w:r>
            <w:proofErr w:type="spellEnd"/>
          </w:p>
        </w:tc>
      </w:tr>
      <w:tr w:rsidR="004A5463" w:rsidRPr="00BA0DCD" w:rsidTr="004A5463">
        <w:trPr>
          <w:trHeight w:val="3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4A5463" w:rsidRPr="00BA0DCD" w:rsidRDefault="004A5463" w:rsidP="002137CA">
            <w:pPr>
              <w:jc w:val="right"/>
              <w:rPr>
                <w:rFonts w:ascii="Calibri" w:hAnsi="Calibri"/>
                <w:color w:val="000000"/>
                <w:sz w:val="22"/>
                <w:lang w:val="en-GB"/>
              </w:rPr>
            </w:pPr>
            <w:r w:rsidRPr="00BA0DCD">
              <w:rPr>
                <w:rFonts w:ascii="Calibri" w:hAnsi="Calibri"/>
                <w:color w:val="000000"/>
                <w:sz w:val="22"/>
                <w:lang w:val="en-GB"/>
              </w:rPr>
              <w:t>Employment rate (201</w:t>
            </w:r>
            <w:r w:rsidR="002137CA" w:rsidRPr="00BA0DCD">
              <w:rPr>
                <w:rFonts w:ascii="Calibri" w:hAnsi="Calibri"/>
                <w:color w:val="000000"/>
                <w:sz w:val="22"/>
                <w:lang w:val="en-GB"/>
              </w:rPr>
              <w:t>3</w:t>
            </w:r>
            <w:r w:rsidRPr="00BA0DCD">
              <w:rPr>
                <w:rFonts w:ascii="Calibri" w:hAnsi="Calibri"/>
                <w:color w:val="000000"/>
                <w:sz w:val="22"/>
                <w:lang w:val="en-GB"/>
              </w:rPr>
              <w:t>)</w:t>
            </w:r>
          </w:p>
        </w:tc>
        <w:tc>
          <w:tcPr>
            <w:tcW w:w="1985" w:type="dxa"/>
            <w:tcBorders>
              <w:top w:val="nil"/>
              <w:left w:val="nil"/>
              <w:bottom w:val="single" w:sz="4" w:space="0" w:color="auto"/>
              <w:right w:val="single" w:sz="4" w:space="0" w:color="auto"/>
            </w:tcBorders>
            <w:shd w:val="clear" w:color="auto" w:fill="auto"/>
            <w:noWrap/>
            <w:vAlign w:val="center"/>
            <w:hideMark/>
          </w:tcPr>
          <w:p w:rsidR="00E95628" w:rsidRDefault="00026631" w:rsidP="00BB7BD6">
            <w:pPr>
              <w:jc w:val="center"/>
              <w:rPr>
                <w:rFonts w:ascii="Calibri" w:hAnsi="Calibri"/>
                <w:color w:val="000000"/>
                <w:sz w:val="22"/>
                <w:lang w:val="en-GB"/>
              </w:rPr>
            </w:pPr>
            <w:r w:rsidRPr="00E95628">
              <w:rPr>
                <w:rFonts w:ascii="Calibri" w:hAnsi="Calibri"/>
                <w:color w:val="000000"/>
                <w:sz w:val="22"/>
                <w:lang w:val="en-GB"/>
              </w:rPr>
              <w:t>65,1</w:t>
            </w:r>
          </w:p>
          <w:p w:rsidR="004A5463" w:rsidRPr="00E95628" w:rsidRDefault="002137CA" w:rsidP="00E95628">
            <w:pPr>
              <w:jc w:val="center"/>
              <w:rPr>
                <w:rFonts w:ascii="Calibri" w:hAnsi="Calibri"/>
                <w:color w:val="000000"/>
                <w:sz w:val="22"/>
                <w:lang w:val="en-GB"/>
              </w:rPr>
            </w:pPr>
            <w:r w:rsidRPr="00E95628">
              <w:rPr>
                <w:rFonts w:ascii="Calibri" w:hAnsi="Calibri"/>
                <w:color w:val="000000"/>
                <w:sz w:val="22"/>
                <w:lang w:val="en-GB"/>
              </w:rPr>
              <w:t>2 177 848</w:t>
            </w:r>
          </w:p>
        </w:tc>
        <w:tc>
          <w:tcPr>
            <w:tcW w:w="1843" w:type="dxa"/>
            <w:tcBorders>
              <w:top w:val="nil"/>
              <w:left w:val="nil"/>
              <w:bottom w:val="single" w:sz="4" w:space="0" w:color="auto"/>
              <w:right w:val="single" w:sz="4" w:space="0" w:color="auto"/>
            </w:tcBorders>
            <w:shd w:val="clear" w:color="auto" w:fill="auto"/>
            <w:noWrap/>
            <w:vAlign w:val="center"/>
            <w:hideMark/>
          </w:tcPr>
          <w:p w:rsidR="005A5857" w:rsidRPr="00E95628" w:rsidRDefault="005A5857" w:rsidP="00BB7BD6">
            <w:pPr>
              <w:jc w:val="center"/>
              <w:rPr>
                <w:rFonts w:ascii="Calibri" w:hAnsi="Calibri"/>
                <w:color w:val="000000"/>
                <w:sz w:val="22"/>
                <w:lang w:val="en-GB"/>
              </w:rPr>
            </w:pPr>
          </w:p>
          <w:p w:rsidR="004A5463" w:rsidRPr="00E95628" w:rsidRDefault="002137CA" w:rsidP="00BB7BD6">
            <w:pPr>
              <w:jc w:val="center"/>
              <w:rPr>
                <w:rFonts w:ascii="Calibri" w:hAnsi="Calibri"/>
                <w:color w:val="000000"/>
                <w:sz w:val="22"/>
                <w:lang w:val="en-GB"/>
              </w:rPr>
            </w:pPr>
            <w:r w:rsidRPr="00E95628">
              <w:rPr>
                <w:rFonts w:ascii="Calibri" w:hAnsi="Calibri"/>
                <w:color w:val="000000"/>
                <w:sz w:val="22"/>
                <w:lang w:val="en-GB"/>
              </w:rPr>
              <w:t>437</w:t>
            </w:r>
            <w:r w:rsidR="00E95628">
              <w:rPr>
                <w:rFonts w:ascii="Calibri" w:hAnsi="Calibri"/>
                <w:color w:val="000000"/>
                <w:sz w:val="22"/>
                <w:lang w:val="en-GB"/>
              </w:rPr>
              <w:t> </w:t>
            </w:r>
            <w:r w:rsidRPr="00E95628">
              <w:rPr>
                <w:rFonts w:ascii="Calibri" w:hAnsi="Calibri"/>
                <w:color w:val="000000"/>
                <w:sz w:val="22"/>
                <w:lang w:val="en-GB"/>
              </w:rPr>
              <w:t>666</w:t>
            </w:r>
          </w:p>
        </w:tc>
        <w:tc>
          <w:tcPr>
            <w:tcW w:w="1842" w:type="dxa"/>
            <w:tcBorders>
              <w:top w:val="nil"/>
              <w:left w:val="nil"/>
              <w:bottom w:val="single" w:sz="4" w:space="0" w:color="auto"/>
              <w:right w:val="single" w:sz="4" w:space="0" w:color="auto"/>
            </w:tcBorders>
            <w:shd w:val="clear" w:color="auto" w:fill="auto"/>
            <w:noWrap/>
            <w:vAlign w:val="center"/>
            <w:hideMark/>
          </w:tcPr>
          <w:p w:rsidR="00E95628" w:rsidRDefault="00E95628" w:rsidP="00BB7BD6">
            <w:pPr>
              <w:jc w:val="center"/>
              <w:rPr>
                <w:rFonts w:ascii="Calibri" w:hAnsi="Calibri"/>
                <w:color w:val="000000"/>
                <w:sz w:val="22"/>
                <w:lang w:val="en-GB"/>
              </w:rPr>
            </w:pPr>
          </w:p>
          <w:p w:rsidR="004A5463" w:rsidRPr="00E95628" w:rsidRDefault="002137CA" w:rsidP="00BB7BD6">
            <w:pPr>
              <w:jc w:val="center"/>
              <w:rPr>
                <w:rFonts w:ascii="Calibri" w:hAnsi="Calibri"/>
                <w:color w:val="000000"/>
                <w:sz w:val="22"/>
                <w:lang w:val="en-GB"/>
              </w:rPr>
            </w:pPr>
            <w:r w:rsidRPr="00E95628">
              <w:rPr>
                <w:rFonts w:ascii="Calibri" w:hAnsi="Calibri"/>
                <w:color w:val="000000"/>
                <w:sz w:val="22"/>
                <w:lang w:val="en-GB"/>
              </w:rPr>
              <w:t>245 428</w:t>
            </w:r>
          </w:p>
        </w:tc>
      </w:tr>
      <w:tr w:rsidR="004A5463" w:rsidRPr="00BA0DCD" w:rsidTr="004A5463">
        <w:trPr>
          <w:trHeight w:val="3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4A5463" w:rsidRPr="00BA0DCD" w:rsidRDefault="004A5463" w:rsidP="002137CA">
            <w:pPr>
              <w:jc w:val="right"/>
              <w:rPr>
                <w:rFonts w:ascii="Calibri" w:hAnsi="Calibri"/>
                <w:color w:val="000000"/>
                <w:sz w:val="22"/>
                <w:lang w:val="en-GB"/>
              </w:rPr>
            </w:pPr>
            <w:r w:rsidRPr="00BA0DCD">
              <w:rPr>
                <w:rFonts w:ascii="Calibri" w:hAnsi="Calibri"/>
                <w:color w:val="000000"/>
                <w:sz w:val="22"/>
                <w:lang w:val="en-GB"/>
              </w:rPr>
              <w:t>Unemployment rate (201</w:t>
            </w:r>
            <w:r w:rsidR="002137CA" w:rsidRPr="00BA0DCD">
              <w:rPr>
                <w:rFonts w:ascii="Calibri" w:hAnsi="Calibri"/>
                <w:color w:val="000000"/>
                <w:sz w:val="22"/>
                <w:lang w:val="en-GB"/>
              </w:rPr>
              <w:t>3</w:t>
            </w:r>
            <w:r w:rsidRPr="00BA0DCD">
              <w:rPr>
                <w:rFonts w:ascii="Calibri" w:hAnsi="Calibri"/>
                <w:color w:val="000000"/>
                <w:sz w:val="22"/>
                <w:lang w:val="en-GB"/>
              </w:rPr>
              <w:t>)</w:t>
            </w:r>
          </w:p>
        </w:tc>
        <w:tc>
          <w:tcPr>
            <w:tcW w:w="1985" w:type="dxa"/>
            <w:tcBorders>
              <w:top w:val="nil"/>
              <w:left w:val="nil"/>
              <w:bottom w:val="single" w:sz="4" w:space="0" w:color="auto"/>
              <w:right w:val="single" w:sz="4" w:space="0" w:color="auto"/>
            </w:tcBorders>
            <w:shd w:val="clear" w:color="auto" w:fill="auto"/>
            <w:noWrap/>
            <w:vAlign w:val="center"/>
            <w:hideMark/>
          </w:tcPr>
          <w:p w:rsidR="004A5463" w:rsidRPr="00BA0DCD" w:rsidRDefault="002137CA" w:rsidP="00BB7BD6">
            <w:pPr>
              <w:jc w:val="center"/>
              <w:rPr>
                <w:rFonts w:ascii="Calibri" w:hAnsi="Calibri"/>
                <w:color w:val="000000"/>
                <w:sz w:val="22"/>
                <w:lang w:val="en-GB"/>
              </w:rPr>
            </w:pPr>
            <w:r w:rsidRPr="00BA0DCD">
              <w:rPr>
                <w:rFonts w:ascii="Calibri" w:hAnsi="Calibri"/>
                <w:color w:val="000000"/>
                <w:sz w:val="22"/>
                <w:lang w:val="en-GB"/>
              </w:rPr>
              <w:t>13,50</w:t>
            </w:r>
          </w:p>
        </w:tc>
        <w:tc>
          <w:tcPr>
            <w:tcW w:w="1843" w:type="dxa"/>
            <w:tcBorders>
              <w:top w:val="nil"/>
              <w:left w:val="nil"/>
              <w:bottom w:val="single" w:sz="4" w:space="0" w:color="auto"/>
              <w:right w:val="single" w:sz="4" w:space="0" w:color="auto"/>
            </w:tcBorders>
            <w:shd w:val="clear" w:color="auto" w:fill="auto"/>
            <w:noWrap/>
            <w:vAlign w:val="center"/>
            <w:hideMark/>
          </w:tcPr>
          <w:p w:rsidR="004A5463" w:rsidRPr="00BA0DCD" w:rsidRDefault="002137CA" w:rsidP="00BB7BD6">
            <w:pPr>
              <w:jc w:val="center"/>
              <w:rPr>
                <w:rFonts w:ascii="Calibri" w:hAnsi="Calibri"/>
                <w:color w:val="000000"/>
                <w:sz w:val="22"/>
                <w:lang w:val="en-GB"/>
              </w:rPr>
            </w:pPr>
            <w:r w:rsidRPr="00BA0DCD">
              <w:rPr>
                <w:rFonts w:ascii="Calibri" w:hAnsi="Calibri"/>
                <w:color w:val="000000"/>
                <w:sz w:val="22"/>
                <w:lang w:val="en-GB"/>
              </w:rPr>
              <w:t>6</w:t>
            </w:r>
            <w:r w:rsidR="00026631" w:rsidRPr="00BA0DCD">
              <w:rPr>
                <w:rFonts w:ascii="Calibri" w:hAnsi="Calibri"/>
                <w:color w:val="000000"/>
                <w:sz w:val="22"/>
                <w:lang w:val="en-GB"/>
              </w:rPr>
              <w:t>,</w:t>
            </w:r>
            <w:r w:rsidRPr="00BA0DCD">
              <w:rPr>
                <w:rFonts w:ascii="Calibri" w:hAnsi="Calibri"/>
                <w:color w:val="000000"/>
                <w:sz w:val="22"/>
                <w:lang w:val="en-GB"/>
              </w:rPr>
              <w:t>1</w:t>
            </w:r>
            <w:r w:rsidR="00026631" w:rsidRPr="00BA0DCD">
              <w:rPr>
                <w:rFonts w:ascii="Calibri" w:hAnsi="Calibri"/>
                <w:color w:val="000000"/>
                <w:sz w:val="22"/>
                <w:lang w:val="en-GB"/>
              </w:rPr>
              <w:t>7</w:t>
            </w:r>
          </w:p>
        </w:tc>
        <w:tc>
          <w:tcPr>
            <w:tcW w:w="1842" w:type="dxa"/>
            <w:tcBorders>
              <w:top w:val="nil"/>
              <w:left w:val="nil"/>
              <w:bottom w:val="single" w:sz="4" w:space="0" w:color="auto"/>
              <w:right w:val="single" w:sz="4" w:space="0" w:color="auto"/>
            </w:tcBorders>
            <w:shd w:val="clear" w:color="auto" w:fill="auto"/>
            <w:noWrap/>
            <w:vAlign w:val="center"/>
            <w:hideMark/>
          </w:tcPr>
          <w:p w:rsidR="004A5463" w:rsidRPr="00BA0DCD" w:rsidRDefault="00026631" w:rsidP="002137CA">
            <w:pPr>
              <w:jc w:val="center"/>
              <w:rPr>
                <w:rFonts w:ascii="Calibri" w:hAnsi="Calibri"/>
                <w:color w:val="000000"/>
                <w:sz w:val="22"/>
                <w:lang w:val="en-GB"/>
              </w:rPr>
            </w:pPr>
            <w:r w:rsidRPr="00BA0DCD">
              <w:rPr>
                <w:rFonts w:ascii="Calibri" w:hAnsi="Calibri"/>
                <w:color w:val="000000"/>
                <w:sz w:val="22"/>
                <w:lang w:val="en-GB"/>
              </w:rPr>
              <w:t>19,</w:t>
            </w:r>
            <w:r w:rsidR="002137CA" w:rsidRPr="00BA0DCD">
              <w:rPr>
                <w:rFonts w:ascii="Calibri" w:hAnsi="Calibri"/>
                <w:color w:val="000000"/>
                <w:sz w:val="22"/>
                <w:lang w:val="en-GB"/>
              </w:rPr>
              <w:t>35</w:t>
            </w:r>
          </w:p>
        </w:tc>
      </w:tr>
      <w:tr w:rsidR="004A5463" w:rsidRPr="00BA0DCD" w:rsidTr="004A5463">
        <w:trPr>
          <w:trHeight w:val="3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4A5463" w:rsidRPr="00BA0DCD" w:rsidRDefault="004A5463" w:rsidP="00BB7BD6">
            <w:pPr>
              <w:jc w:val="right"/>
              <w:rPr>
                <w:rFonts w:ascii="Calibri" w:hAnsi="Calibri"/>
                <w:color w:val="000000"/>
                <w:sz w:val="22"/>
                <w:lang w:val="en-GB"/>
              </w:rPr>
            </w:pPr>
            <w:r w:rsidRPr="00BA0DCD">
              <w:rPr>
                <w:rFonts w:ascii="Calibri" w:hAnsi="Calibri"/>
                <w:color w:val="000000"/>
                <w:sz w:val="22"/>
                <w:lang w:val="en-GB"/>
              </w:rPr>
              <w:t>Participation in LLP (2013)</w:t>
            </w:r>
          </w:p>
        </w:tc>
        <w:tc>
          <w:tcPr>
            <w:tcW w:w="1985" w:type="dxa"/>
            <w:tcBorders>
              <w:top w:val="nil"/>
              <w:left w:val="nil"/>
              <w:bottom w:val="single" w:sz="4" w:space="0" w:color="auto"/>
              <w:right w:val="single" w:sz="4" w:space="0" w:color="auto"/>
            </w:tcBorders>
            <w:shd w:val="clear" w:color="auto" w:fill="auto"/>
            <w:noWrap/>
            <w:vAlign w:val="center"/>
            <w:hideMark/>
          </w:tcPr>
          <w:p w:rsidR="004A5463" w:rsidRPr="00BA0DCD" w:rsidRDefault="008564CB" w:rsidP="00BB7BD6">
            <w:pPr>
              <w:jc w:val="center"/>
              <w:rPr>
                <w:rFonts w:ascii="Calibri" w:hAnsi="Calibri"/>
                <w:color w:val="000000"/>
                <w:sz w:val="22"/>
                <w:lang w:val="en-GB"/>
              </w:rPr>
            </w:pPr>
            <w:r w:rsidRPr="00BA0DCD">
              <w:rPr>
                <w:rFonts w:ascii="Calibri" w:hAnsi="Calibri"/>
                <w:color w:val="000000"/>
                <w:sz w:val="22"/>
                <w:lang w:val="en-GB"/>
              </w:rPr>
              <w:t>2,9</w:t>
            </w:r>
          </w:p>
        </w:tc>
        <w:tc>
          <w:tcPr>
            <w:tcW w:w="1843" w:type="dxa"/>
            <w:tcBorders>
              <w:top w:val="nil"/>
              <w:left w:val="nil"/>
              <w:bottom w:val="nil"/>
              <w:right w:val="nil"/>
            </w:tcBorders>
            <w:shd w:val="clear" w:color="auto" w:fill="auto"/>
            <w:noWrap/>
            <w:vAlign w:val="center"/>
            <w:hideMark/>
          </w:tcPr>
          <w:p w:rsidR="004A5463" w:rsidRPr="00BA0DCD" w:rsidRDefault="0073438B" w:rsidP="00BB7BD6">
            <w:pPr>
              <w:jc w:val="center"/>
              <w:rPr>
                <w:rFonts w:ascii="Calibri" w:hAnsi="Calibri"/>
                <w:color w:val="000000"/>
                <w:sz w:val="22"/>
                <w:lang w:val="en-GB"/>
              </w:rPr>
            </w:pPr>
            <w:r w:rsidRPr="00BA0DCD">
              <w:rPr>
                <w:rFonts w:ascii="Calibri" w:hAnsi="Calibri"/>
                <w:color w:val="000000"/>
                <w:sz w:val="22"/>
                <w:lang w:val="en-GB"/>
              </w:rPr>
              <w:t>6,2</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4A5463" w:rsidRPr="00BA0DCD" w:rsidRDefault="0073438B" w:rsidP="00BB7BD6">
            <w:pPr>
              <w:jc w:val="center"/>
              <w:rPr>
                <w:rFonts w:ascii="Calibri" w:hAnsi="Calibri"/>
                <w:color w:val="000000"/>
                <w:sz w:val="22"/>
                <w:lang w:val="en-GB"/>
              </w:rPr>
            </w:pPr>
            <w:r w:rsidRPr="00BA0DCD">
              <w:rPr>
                <w:rFonts w:ascii="Calibri" w:hAnsi="Calibri"/>
                <w:color w:val="000000"/>
                <w:sz w:val="22"/>
                <w:lang w:val="en-GB"/>
              </w:rPr>
              <w:t>1,0</w:t>
            </w:r>
          </w:p>
        </w:tc>
      </w:tr>
      <w:tr w:rsidR="004A5463" w:rsidRPr="00BA0DCD" w:rsidTr="004A5463">
        <w:trPr>
          <w:trHeight w:val="3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4A5463" w:rsidRPr="00BA0DCD" w:rsidRDefault="004A5463" w:rsidP="00BB7BD6">
            <w:pPr>
              <w:jc w:val="right"/>
              <w:rPr>
                <w:rFonts w:ascii="Calibri" w:hAnsi="Calibri"/>
                <w:color w:val="000000"/>
                <w:sz w:val="22"/>
                <w:lang w:val="en-GB"/>
              </w:rPr>
            </w:pPr>
            <w:r w:rsidRPr="00BA0DCD">
              <w:rPr>
                <w:rFonts w:ascii="Calibri" w:hAnsi="Calibri"/>
                <w:color w:val="000000"/>
                <w:sz w:val="22"/>
                <w:lang w:val="en-GB"/>
              </w:rPr>
              <w:t>Participants in labour market policy measures (training, 2012)</w:t>
            </w:r>
          </w:p>
        </w:tc>
        <w:tc>
          <w:tcPr>
            <w:tcW w:w="1985" w:type="dxa"/>
            <w:tcBorders>
              <w:top w:val="nil"/>
              <w:left w:val="nil"/>
              <w:bottom w:val="single" w:sz="4" w:space="0" w:color="auto"/>
              <w:right w:val="single" w:sz="4" w:space="0" w:color="auto"/>
            </w:tcBorders>
            <w:shd w:val="clear" w:color="auto" w:fill="auto"/>
            <w:noWrap/>
            <w:vAlign w:val="center"/>
            <w:hideMark/>
          </w:tcPr>
          <w:p w:rsidR="004A5463" w:rsidRPr="00E95628" w:rsidRDefault="008564CB" w:rsidP="00E95628">
            <w:pPr>
              <w:jc w:val="center"/>
              <w:rPr>
                <w:rFonts w:ascii="Calibri" w:hAnsi="Calibri"/>
                <w:color w:val="000000"/>
                <w:sz w:val="22"/>
                <w:lang w:val="en-GB"/>
              </w:rPr>
            </w:pPr>
            <w:r w:rsidRPr="00E95628">
              <w:rPr>
                <w:rFonts w:ascii="Calibri" w:hAnsi="Calibri"/>
                <w:color w:val="000000"/>
                <w:sz w:val="22"/>
                <w:lang w:val="en-GB"/>
              </w:rPr>
              <w:t>75</w:t>
            </w:r>
            <w:r w:rsidR="00E95628">
              <w:rPr>
                <w:rFonts w:ascii="Calibri" w:hAnsi="Calibri"/>
                <w:color w:val="000000"/>
                <w:sz w:val="22"/>
                <w:lang w:val="en-GB"/>
              </w:rPr>
              <w:t xml:space="preserve"> </w:t>
            </w:r>
            <w:r w:rsidRPr="00E95628">
              <w:rPr>
                <w:rFonts w:ascii="Calibri" w:hAnsi="Calibri"/>
                <w:color w:val="000000"/>
                <w:sz w:val="22"/>
                <w:lang w:val="en-GB"/>
              </w:rPr>
              <w:t>415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A5463" w:rsidRPr="00E95628" w:rsidRDefault="00E95628" w:rsidP="00BB7BD6">
            <w:pPr>
              <w:jc w:val="center"/>
              <w:rPr>
                <w:rFonts w:ascii="Calibri" w:hAnsi="Calibri"/>
                <w:color w:val="000000"/>
                <w:sz w:val="22"/>
                <w:lang w:val="en-GB"/>
              </w:rPr>
            </w:pPr>
            <w:r>
              <w:rPr>
                <w:rFonts w:ascii="Calibri" w:hAnsi="Calibri"/>
                <w:color w:val="000000"/>
                <w:sz w:val="22"/>
                <w:lang w:val="en-GB"/>
              </w:rPr>
              <w:t>?</w:t>
            </w:r>
          </w:p>
        </w:tc>
        <w:tc>
          <w:tcPr>
            <w:tcW w:w="1842" w:type="dxa"/>
            <w:tcBorders>
              <w:top w:val="nil"/>
              <w:left w:val="nil"/>
              <w:bottom w:val="single" w:sz="4" w:space="0" w:color="auto"/>
              <w:right w:val="single" w:sz="4" w:space="0" w:color="auto"/>
            </w:tcBorders>
            <w:shd w:val="clear" w:color="auto" w:fill="auto"/>
            <w:noWrap/>
            <w:vAlign w:val="center"/>
            <w:hideMark/>
          </w:tcPr>
          <w:p w:rsidR="004A5463" w:rsidRPr="00BA0DCD" w:rsidRDefault="00E95628" w:rsidP="00BB7BD6">
            <w:pPr>
              <w:jc w:val="center"/>
              <w:rPr>
                <w:rFonts w:ascii="Calibri" w:hAnsi="Calibri"/>
                <w:color w:val="000000"/>
                <w:sz w:val="22"/>
                <w:highlight w:val="yellow"/>
                <w:lang w:val="en-GB"/>
              </w:rPr>
            </w:pPr>
            <w:r w:rsidRPr="00E95628">
              <w:rPr>
                <w:rFonts w:ascii="Calibri" w:hAnsi="Calibri"/>
                <w:color w:val="000000"/>
                <w:sz w:val="22"/>
                <w:lang w:val="en-GB"/>
              </w:rPr>
              <w:t>?</w:t>
            </w:r>
          </w:p>
        </w:tc>
      </w:tr>
    </w:tbl>
    <w:p w:rsidR="00861C46" w:rsidRPr="00BA0DCD" w:rsidRDefault="00861C46">
      <w:pPr>
        <w:rPr>
          <w:rFonts w:asciiTheme="minorHAnsi" w:hAnsiTheme="minorHAnsi"/>
          <w:sz w:val="20"/>
          <w:lang w:val="en-US"/>
        </w:rPr>
      </w:pPr>
    </w:p>
    <w:p w:rsidR="00861C46" w:rsidRPr="00BA0DCD" w:rsidRDefault="00861C46">
      <w:pPr>
        <w:rPr>
          <w:rFonts w:asciiTheme="minorHAnsi" w:hAnsiTheme="minorHAnsi"/>
          <w:sz w:val="20"/>
          <w:lang w:val="en-US"/>
        </w:rPr>
      </w:pPr>
    </w:p>
    <w:p w:rsidR="004D765E" w:rsidRDefault="004D765E">
      <w:pPr>
        <w:rPr>
          <w:rFonts w:asciiTheme="minorHAnsi" w:hAnsiTheme="minorHAnsi"/>
          <w:sz w:val="20"/>
          <w:lang w:val="en-US"/>
        </w:rPr>
      </w:pPr>
      <w:r>
        <w:rPr>
          <w:rFonts w:asciiTheme="minorHAnsi" w:hAnsiTheme="minorHAnsi"/>
          <w:sz w:val="20"/>
          <w:lang w:val="en-US"/>
        </w:rPr>
        <w:br w:type="page"/>
      </w:r>
    </w:p>
    <w:p w:rsidR="00861C46" w:rsidRPr="00BA0DCD" w:rsidRDefault="00861C46">
      <w:pPr>
        <w:rPr>
          <w:rFonts w:asciiTheme="minorHAnsi" w:hAnsiTheme="minorHAnsi"/>
          <w:sz w:val="20"/>
          <w:lang w:val="en-US"/>
        </w:rPr>
      </w:pPr>
    </w:p>
    <w:p w:rsidR="00861C46" w:rsidRPr="00BA0DCD" w:rsidRDefault="003E5AC9">
      <w:pPr>
        <w:rPr>
          <w:rFonts w:asciiTheme="minorHAnsi" w:hAnsiTheme="minorHAnsi"/>
          <w:sz w:val="20"/>
          <w:lang w:val="en-US"/>
        </w:rPr>
      </w:pPr>
      <w:r w:rsidRPr="003E5AC9">
        <w:rPr>
          <w:noProof/>
          <w:lang w:val="sk-SK" w:eastAsia="sk-SK"/>
        </w:rPr>
        <w:pict>
          <v:shapetype id="_x0000_t32" coordsize="21600,21600" o:spt="32" o:oned="t" path="m,l21600,21600e" filled="f">
            <v:path arrowok="t" fillok="f" o:connecttype="none"/>
            <o:lock v:ext="edit" shapetype="t"/>
          </v:shapetype>
          <v:shape id="_x0000_s1030" type="#_x0000_t32" style="position:absolute;margin-left:337.4pt;margin-top:53pt;width:54.15pt;height:45.2pt;flip:x;z-index:251662336" o:connectortype="straight">
            <v:stroke endarrow="block"/>
          </v:shape>
        </w:pict>
      </w:r>
      <w:r w:rsidRPr="003E5AC9">
        <w:rPr>
          <w:noProof/>
          <w:lang w:val="sk-SK" w:eastAsia="sk-SK"/>
        </w:rPr>
        <w:pict>
          <v:shapetype id="_x0000_t202" coordsize="21600,21600" o:spt="202" path="m,l,21600r21600,l21600,xe">
            <v:stroke joinstyle="miter"/>
            <v:path gradientshapeok="t" o:connecttype="rect"/>
          </v:shapetype>
          <v:shape id="_x0000_s1027" type="#_x0000_t202" style="position:absolute;margin-left:350.15pt;margin-top:17.25pt;width:87.55pt;height:35.7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">
            <v:textbox style="mso-next-textbox:#_x0000_s1027">
              <w:txbxContent>
                <w:p w:rsidR="00E057F6" w:rsidRPr="00774861" w:rsidRDefault="00E057F6" w:rsidP="00774861">
                  <w:pPr>
                    <w:rPr>
                      <w:rFonts w:asciiTheme="minorHAnsi" w:hAnsiTheme="minorHAnsi"/>
                      <w:sz w:val="20"/>
                      <w:lang w:val="en-GB"/>
                    </w:rPr>
                  </w:pPr>
                  <w:proofErr w:type="spellStart"/>
                  <w:r>
                    <w:rPr>
                      <w:rFonts w:asciiTheme="minorHAnsi" w:hAnsiTheme="minorHAnsi"/>
                      <w:sz w:val="20"/>
                      <w:lang w:val="en-GB"/>
                    </w:rPr>
                    <w:t>Prešovský</w:t>
                  </w:r>
                  <w:proofErr w:type="spellEnd"/>
                  <w:r>
                    <w:rPr>
                      <w:rFonts w:asciiTheme="minorHAnsi" w:hAnsiTheme="minorHAnsi"/>
                      <w:sz w:val="20"/>
                      <w:lang w:val="en-GB"/>
                    </w:rPr>
                    <w:t xml:space="preserve"> </w:t>
                  </w:r>
                  <w:r w:rsidRPr="00774861">
                    <w:rPr>
                      <w:rFonts w:asciiTheme="minorHAnsi" w:hAnsiTheme="minorHAnsi"/>
                      <w:sz w:val="20"/>
                      <w:lang w:val="en-GB"/>
                    </w:rPr>
                    <w:t>Self-governing region</w:t>
                  </w:r>
                </w:p>
              </w:txbxContent>
            </v:textbox>
            <w10:wrap type="square"/>
          </v:shape>
        </w:pict>
      </w:r>
    </w:p>
    <w:p w:rsidR="00861C46" w:rsidRDefault="003E5AC9">
      <w:pPr>
        <w:rPr>
          <w:rFonts w:asciiTheme="minorHAnsi" w:hAnsiTheme="minorHAnsi"/>
          <w:sz w:val="22"/>
          <w:lang w:val="en-US"/>
        </w:rPr>
      </w:pPr>
      <w:r w:rsidRPr="003E5AC9">
        <w:rPr>
          <w:noProof/>
          <w:lang w:val="sk-SK" w:eastAsia="sk-SK"/>
        </w:rPr>
        <w:pict>
          <v:shape id="_x0000_s1028" type="#_x0000_t32" style="position:absolute;margin-left:-9.75pt;margin-top:145.4pt;width:59.4pt;height:1.55pt;z-index:251661312" o:connectortype="straight">
            <v:stroke endarrow="block"/>
          </v:shape>
        </w:pict>
      </w:r>
      <w:r w:rsidRPr="003E5AC9">
        <w:rPr>
          <w:noProof/>
        </w:rPr>
        <w:pict>
          <v:shape id="Textové pole 2" o:spid="_x0000_s1026" type="#_x0000_t202" style="position:absolute;margin-left:-5.05pt;margin-top:125.35pt;width:87.55pt;height:37.9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">
            <v:textbox>
              <w:txbxContent>
                <w:p w:rsidR="00E057F6" w:rsidRPr="00774861" w:rsidRDefault="00E057F6">
                  <w:pPr>
                    <w:rPr>
                      <w:rFonts w:asciiTheme="minorHAnsi" w:hAnsiTheme="minorHAnsi"/>
                      <w:sz w:val="20"/>
                      <w:lang w:val="en-GB"/>
                    </w:rPr>
                  </w:pPr>
                  <w:proofErr w:type="spellStart"/>
                  <w:r w:rsidRPr="00774861">
                    <w:rPr>
                      <w:rFonts w:asciiTheme="minorHAnsi" w:hAnsiTheme="minorHAnsi"/>
                      <w:sz w:val="20"/>
                      <w:lang w:val="en-GB"/>
                    </w:rPr>
                    <w:t>Bratislavský</w:t>
                  </w:r>
                  <w:proofErr w:type="spellEnd"/>
                  <w:r w:rsidRPr="00774861">
                    <w:rPr>
                      <w:rFonts w:asciiTheme="minorHAnsi" w:hAnsiTheme="minorHAnsi"/>
                      <w:sz w:val="20"/>
                      <w:lang w:val="en-GB"/>
                    </w:rPr>
                    <w:t xml:space="preserve"> Self-governing region</w:t>
                  </w:r>
                </w:p>
              </w:txbxContent>
            </v:textbox>
            <w10:wrap type="square"/>
          </v:shape>
        </w:pict>
      </w:r>
      <w:r w:rsidR="00774861">
        <w:rPr>
          <w:rFonts w:asciiTheme="minorHAnsi" w:hAnsiTheme="minorHAnsi"/>
          <w:sz w:val="22"/>
          <w:lang w:val="en-US"/>
        </w:rPr>
        <w:t xml:space="preserve">           </w:t>
      </w:r>
      <w:r w:rsidR="00774861">
        <w:rPr>
          <w:rFonts w:asciiTheme="minorHAnsi" w:hAnsiTheme="minorHAnsi"/>
          <w:noProof/>
          <w:sz w:val="22"/>
          <w:lang w:val="sk-SK" w:eastAsia="sk-SK"/>
        </w:rPr>
        <w:drawing>
          <wp:inline distT="0" distB="0" distL="0" distR="0">
            <wp:extent cx="3616393" cy="1866059"/>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ovakia_location_map_no_surrounding.svg.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26685" cy="1871370"/>
                    </a:xfrm>
                    <a:prstGeom prst="rect">
                      <a:avLst/>
                    </a:prstGeom>
                  </pic:spPr>
                </pic:pic>
              </a:graphicData>
            </a:graphic>
          </wp:inline>
        </w:drawing>
      </w:r>
    </w:p>
    <w:p w:rsidR="004D765E" w:rsidRDefault="004D765E">
      <w:pPr>
        <w:rPr>
          <w:rFonts w:asciiTheme="minorHAnsi" w:eastAsiaTheme="majorEastAsia" w:hAnsiTheme="minorHAnsi" w:cstheme="majorBidi"/>
          <w:b/>
          <w:bCs/>
          <w:iCs/>
          <w:color w:val="1F497D" w:themeColor="text2"/>
          <w:sz w:val="22"/>
          <w:szCs w:val="22"/>
          <w:lang w:val="en-US"/>
        </w:rPr>
      </w:pPr>
      <w:bookmarkStart w:id="3" w:name="_Toc372035094"/>
      <w:r>
        <w:br w:type="page"/>
      </w:r>
    </w:p>
    <w:p w:rsidR="00D31F73" w:rsidRPr="00D31F73" w:rsidRDefault="00D31F73" w:rsidP="00D31F73">
      <w:pPr>
        <w:pStyle w:val="Nadpis2"/>
      </w:pPr>
      <w:r w:rsidRPr="00D31F73">
        <w:lastRenderedPageBreak/>
        <w:t>Policy Formulation</w:t>
      </w:r>
      <w:bookmarkEnd w:id="3"/>
    </w:p>
    <w:p w:rsidR="00D31F73" w:rsidRDefault="00D31F73">
      <w:pPr>
        <w:rPr>
          <w:rFonts w:asciiTheme="minorHAnsi" w:hAnsiTheme="minorHAnsi"/>
          <w:sz w:val="22"/>
          <w:lang w:val="en-US"/>
        </w:rPr>
      </w:pPr>
    </w:p>
    <w:p w:rsidR="00B121AD" w:rsidRDefault="009B31F5" w:rsidP="00B121AD">
      <w:pPr>
        <w:rPr>
          <w:rFonts w:asciiTheme="minorHAnsi" w:hAnsiTheme="minorHAnsi"/>
          <w:sz w:val="22"/>
          <w:lang w:val="en-US"/>
        </w:rPr>
      </w:pPr>
      <w:r>
        <w:rPr>
          <w:rFonts w:asciiTheme="minorHAnsi" w:hAnsiTheme="minorHAnsi"/>
          <w:sz w:val="22"/>
          <w:lang w:val="en-US"/>
        </w:rPr>
        <w:t xml:space="preserve">The AL policy is formulated at the national level, by the Ministry of Education. The Law on LLL adopted in 2009 has been amended several times and now a new law is being prepared. The initiative is driven by the Ministry in close cooperation with the National </w:t>
      </w:r>
      <w:r w:rsidR="00B121AD">
        <w:rPr>
          <w:rFonts w:asciiTheme="minorHAnsi" w:hAnsiTheme="minorHAnsi"/>
          <w:sz w:val="22"/>
          <w:lang w:val="en-US"/>
        </w:rPr>
        <w:t>Lifelong L</w:t>
      </w:r>
      <w:r>
        <w:rPr>
          <w:rFonts w:asciiTheme="minorHAnsi" w:hAnsiTheme="minorHAnsi"/>
          <w:sz w:val="22"/>
          <w:lang w:val="en-US"/>
        </w:rPr>
        <w:t xml:space="preserve">earning </w:t>
      </w:r>
      <w:r w:rsidR="00B121AD">
        <w:rPr>
          <w:rFonts w:asciiTheme="minorHAnsi" w:hAnsiTheme="minorHAnsi"/>
          <w:sz w:val="22"/>
          <w:lang w:val="en-US"/>
        </w:rPr>
        <w:t>I</w:t>
      </w:r>
      <w:r>
        <w:rPr>
          <w:rFonts w:asciiTheme="minorHAnsi" w:hAnsiTheme="minorHAnsi"/>
          <w:sz w:val="22"/>
          <w:lang w:val="en-US"/>
        </w:rPr>
        <w:t xml:space="preserve">nstitute. The aim of the new law is to define the system of monitoring and </w:t>
      </w:r>
      <w:proofErr w:type="spellStart"/>
      <w:r>
        <w:rPr>
          <w:rFonts w:asciiTheme="minorHAnsi" w:hAnsiTheme="minorHAnsi"/>
          <w:sz w:val="22"/>
          <w:lang w:val="en-US"/>
        </w:rPr>
        <w:t>prognosing</w:t>
      </w:r>
      <w:proofErr w:type="spellEnd"/>
      <w:r>
        <w:rPr>
          <w:rFonts w:asciiTheme="minorHAnsi" w:hAnsiTheme="minorHAnsi"/>
          <w:sz w:val="22"/>
          <w:lang w:val="en-US"/>
        </w:rPr>
        <w:t xml:space="preserve"> of training needs for the area of furt</w:t>
      </w:r>
      <w:r w:rsidR="00B121AD">
        <w:rPr>
          <w:rFonts w:asciiTheme="minorHAnsi" w:hAnsiTheme="minorHAnsi"/>
          <w:sz w:val="22"/>
          <w:lang w:val="en-US"/>
        </w:rPr>
        <w:t xml:space="preserve">her education and </w:t>
      </w:r>
      <w:proofErr w:type="spellStart"/>
      <w:r w:rsidR="00B121AD">
        <w:rPr>
          <w:rFonts w:asciiTheme="minorHAnsi" w:hAnsiTheme="minorHAnsi"/>
          <w:sz w:val="22"/>
          <w:lang w:val="en-US"/>
        </w:rPr>
        <w:t>harmonise</w:t>
      </w:r>
      <w:proofErr w:type="spellEnd"/>
      <w:r w:rsidR="00B121AD">
        <w:rPr>
          <w:rFonts w:asciiTheme="minorHAnsi" w:hAnsiTheme="minorHAnsi"/>
          <w:sz w:val="22"/>
          <w:lang w:val="en-US"/>
        </w:rPr>
        <w:t xml:space="preserve"> the </w:t>
      </w:r>
      <w:r w:rsidR="0031725D">
        <w:rPr>
          <w:rFonts w:asciiTheme="minorHAnsi" w:hAnsiTheme="minorHAnsi"/>
          <w:sz w:val="22"/>
          <w:lang w:val="en-US"/>
        </w:rPr>
        <w:t xml:space="preserve">training </w:t>
      </w:r>
      <w:r w:rsidR="00B121AD">
        <w:rPr>
          <w:rFonts w:asciiTheme="minorHAnsi" w:hAnsiTheme="minorHAnsi"/>
          <w:sz w:val="22"/>
          <w:lang w:val="en-US"/>
        </w:rPr>
        <w:t xml:space="preserve">offer and demands of the </w:t>
      </w:r>
      <w:proofErr w:type="spellStart"/>
      <w:r w:rsidR="00B121AD">
        <w:rPr>
          <w:rFonts w:asciiTheme="minorHAnsi" w:hAnsiTheme="minorHAnsi"/>
          <w:sz w:val="22"/>
          <w:lang w:val="en-US"/>
        </w:rPr>
        <w:t>labour</w:t>
      </w:r>
      <w:proofErr w:type="spellEnd"/>
      <w:r w:rsidR="00B121AD">
        <w:rPr>
          <w:rFonts w:asciiTheme="minorHAnsi" w:hAnsiTheme="minorHAnsi"/>
          <w:sz w:val="22"/>
          <w:lang w:val="en-US"/>
        </w:rPr>
        <w:t xml:space="preserve"> market. The law is prepared in wider partnership with employers´ associations, </w:t>
      </w:r>
      <w:r w:rsidR="00E84C91">
        <w:rPr>
          <w:rFonts w:asciiTheme="minorHAnsi" w:hAnsiTheme="minorHAnsi"/>
          <w:sz w:val="22"/>
          <w:lang w:val="en-US"/>
        </w:rPr>
        <w:t xml:space="preserve">trade unions, university and </w:t>
      </w:r>
      <w:r w:rsidR="0031725D">
        <w:rPr>
          <w:rFonts w:asciiTheme="minorHAnsi" w:hAnsiTheme="minorHAnsi"/>
          <w:sz w:val="22"/>
          <w:lang w:val="en-US"/>
        </w:rPr>
        <w:t xml:space="preserve">the </w:t>
      </w:r>
      <w:r w:rsidR="00E84C91">
        <w:rPr>
          <w:rFonts w:asciiTheme="minorHAnsi" w:hAnsiTheme="minorHAnsi"/>
          <w:sz w:val="22"/>
          <w:lang w:val="en-US"/>
        </w:rPr>
        <w:t>Academic Association of Further Education.</w:t>
      </w:r>
    </w:p>
    <w:p w:rsidR="00E84C91" w:rsidRDefault="00E84C91" w:rsidP="00B121AD">
      <w:pPr>
        <w:rPr>
          <w:rFonts w:asciiTheme="minorHAnsi" w:hAnsiTheme="minorHAnsi"/>
          <w:sz w:val="22"/>
          <w:lang w:val="en-US"/>
        </w:rPr>
      </w:pPr>
    </w:p>
    <w:p w:rsidR="00E84C91" w:rsidRDefault="00E84C91" w:rsidP="00B121AD">
      <w:pPr>
        <w:rPr>
          <w:rFonts w:asciiTheme="minorHAnsi" w:hAnsiTheme="minorHAnsi"/>
          <w:sz w:val="22"/>
          <w:lang w:val="en-US"/>
        </w:rPr>
      </w:pPr>
      <w:r>
        <w:rPr>
          <w:rFonts w:asciiTheme="minorHAnsi" w:hAnsiTheme="minorHAnsi"/>
          <w:sz w:val="22"/>
          <w:lang w:val="en-US"/>
        </w:rPr>
        <w:t xml:space="preserve">The </w:t>
      </w:r>
      <w:r w:rsidR="0031725D">
        <w:rPr>
          <w:rFonts w:asciiTheme="minorHAnsi" w:hAnsiTheme="minorHAnsi"/>
          <w:sz w:val="22"/>
          <w:lang w:val="en-US"/>
        </w:rPr>
        <w:t xml:space="preserve">various </w:t>
      </w:r>
      <w:r>
        <w:rPr>
          <w:rFonts w:asciiTheme="minorHAnsi" w:hAnsiTheme="minorHAnsi"/>
          <w:sz w:val="22"/>
          <w:lang w:val="en-US"/>
        </w:rPr>
        <w:t>national agencies deal mainly with non-formal and informal education in the context of AL</w:t>
      </w:r>
      <w:r w:rsidR="00AA76D9">
        <w:rPr>
          <w:rFonts w:asciiTheme="minorHAnsi" w:hAnsiTheme="minorHAnsi"/>
          <w:sz w:val="22"/>
          <w:lang w:val="en-US"/>
        </w:rPr>
        <w:t xml:space="preserve">. </w:t>
      </w:r>
      <w:r w:rsidR="0031725D">
        <w:rPr>
          <w:rFonts w:asciiTheme="minorHAnsi" w:hAnsiTheme="minorHAnsi"/>
          <w:sz w:val="22"/>
          <w:lang w:val="en-US"/>
        </w:rPr>
        <w:t>In interviews, t</w:t>
      </w:r>
      <w:r>
        <w:rPr>
          <w:rFonts w:asciiTheme="minorHAnsi" w:hAnsiTheme="minorHAnsi"/>
          <w:sz w:val="22"/>
          <w:lang w:val="en-US"/>
        </w:rPr>
        <w:t xml:space="preserve">he regional representatives referred to formal education and referred to secondary (professional schools) which partially offer also further education / AL courses in their premises. This reflects our finding that </w:t>
      </w:r>
      <w:r w:rsidR="005A28FD">
        <w:rPr>
          <w:rFonts w:asciiTheme="minorHAnsi" w:hAnsiTheme="minorHAnsi"/>
          <w:sz w:val="22"/>
          <w:lang w:val="en-US"/>
        </w:rPr>
        <w:t xml:space="preserve">the concept of AL policy is not developed at the regional </w:t>
      </w:r>
      <w:proofErr w:type="spellStart"/>
      <w:r w:rsidR="005A28FD">
        <w:rPr>
          <w:rFonts w:asciiTheme="minorHAnsi" w:hAnsiTheme="minorHAnsi"/>
          <w:sz w:val="22"/>
          <w:lang w:val="en-US"/>
        </w:rPr>
        <w:t>level.</w:t>
      </w:r>
      <w:r w:rsidR="0031725D">
        <w:rPr>
          <w:rFonts w:asciiTheme="minorHAnsi" w:hAnsiTheme="minorHAnsi"/>
          <w:sz w:val="22"/>
          <w:lang w:val="en-US"/>
        </w:rPr>
        <w:t>There</w:t>
      </w:r>
      <w:proofErr w:type="spellEnd"/>
      <w:r w:rsidR="0031725D">
        <w:rPr>
          <w:rFonts w:asciiTheme="minorHAnsi" w:hAnsiTheme="minorHAnsi"/>
          <w:sz w:val="22"/>
          <w:lang w:val="en-US"/>
        </w:rPr>
        <w:t xml:space="preserve"> i</w:t>
      </w:r>
      <w:r w:rsidR="005A28FD">
        <w:rPr>
          <w:rFonts w:asciiTheme="minorHAnsi" w:hAnsiTheme="minorHAnsi"/>
          <w:sz w:val="22"/>
          <w:lang w:val="en-US"/>
        </w:rPr>
        <w:t xml:space="preserve">t is connected with formal education and with perceiving the providers of formal education </w:t>
      </w:r>
      <w:r w:rsidR="0031725D">
        <w:rPr>
          <w:rFonts w:asciiTheme="minorHAnsi" w:hAnsiTheme="minorHAnsi"/>
          <w:sz w:val="22"/>
          <w:lang w:val="en-US"/>
        </w:rPr>
        <w:t xml:space="preserve">also </w:t>
      </w:r>
      <w:r w:rsidR="005A28FD">
        <w:rPr>
          <w:rFonts w:asciiTheme="minorHAnsi" w:hAnsiTheme="minorHAnsi"/>
          <w:sz w:val="22"/>
          <w:lang w:val="en-US"/>
        </w:rPr>
        <w:t xml:space="preserve">as providers of courses </w:t>
      </w:r>
      <w:r w:rsidR="0031725D">
        <w:rPr>
          <w:rFonts w:asciiTheme="minorHAnsi" w:hAnsiTheme="minorHAnsi"/>
          <w:sz w:val="22"/>
          <w:lang w:val="en-US"/>
        </w:rPr>
        <w:t xml:space="preserve">for adults </w:t>
      </w:r>
      <w:r w:rsidR="005A28FD">
        <w:rPr>
          <w:rFonts w:asciiTheme="minorHAnsi" w:hAnsiTheme="minorHAnsi"/>
          <w:sz w:val="22"/>
          <w:lang w:val="en-US"/>
        </w:rPr>
        <w:t>that can help reduce unemployment.</w:t>
      </w:r>
      <w:r w:rsidR="00E67675">
        <w:rPr>
          <w:rFonts w:asciiTheme="minorHAnsi" w:hAnsiTheme="minorHAnsi"/>
          <w:sz w:val="22"/>
          <w:lang w:val="en-US"/>
        </w:rPr>
        <w:t xml:space="preserve"> We can see here a mix with Vocation Education and Training. </w:t>
      </w:r>
      <w:r w:rsidR="00342595">
        <w:rPr>
          <w:rFonts w:asciiTheme="minorHAnsi" w:hAnsiTheme="minorHAnsi"/>
          <w:sz w:val="22"/>
          <w:lang w:val="en-US"/>
        </w:rPr>
        <w:t xml:space="preserve"> </w:t>
      </w:r>
      <w:r w:rsidR="00E67675">
        <w:rPr>
          <w:rFonts w:asciiTheme="minorHAnsi" w:hAnsiTheme="minorHAnsi"/>
          <w:sz w:val="22"/>
          <w:lang w:val="en-US"/>
        </w:rPr>
        <w:t>So the comments that the regional representative gave about policy formulation are of general nature, concerning policy formulation process in general not specifically on AL.</w:t>
      </w:r>
    </w:p>
    <w:p w:rsidR="005A28FD" w:rsidRDefault="005A28FD" w:rsidP="00B121AD">
      <w:pPr>
        <w:rPr>
          <w:rFonts w:asciiTheme="minorHAnsi" w:hAnsiTheme="minorHAnsi"/>
          <w:sz w:val="22"/>
          <w:lang w:val="en-US"/>
        </w:rPr>
      </w:pPr>
    </w:p>
    <w:p w:rsidR="00AA76D9" w:rsidRDefault="005A28FD" w:rsidP="00AA76D9">
      <w:pPr>
        <w:rPr>
          <w:rFonts w:asciiTheme="minorHAnsi" w:hAnsiTheme="minorHAnsi"/>
          <w:sz w:val="22"/>
          <w:lang w:val="en-US"/>
        </w:rPr>
      </w:pPr>
      <w:r>
        <w:rPr>
          <w:rFonts w:asciiTheme="minorHAnsi" w:hAnsiTheme="minorHAnsi"/>
          <w:sz w:val="22"/>
          <w:lang w:val="en-US"/>
        </w:rPr>
        <w:t>The goal of AL policy was perceived as economic or social or in combination of both. Neve</w:t>
      </w:r>
      <w:r w:rsidR="0031725D">
        <w:rPr>
          <w:rFonts w:asciiTheme="minorHAnsi" w:hAnsiTheme="minorHAnsi"/>
          <w:sz w:val="22"/>
          <w:lang w:val="en-US"/>
        </w:rPr>
        <w:t>r</w:t>
      </w:r>
      <w:r>
        <w:rPr>
          <w:rFonts w:asciiTheme="minorHAnsi" w:hAnsiTheme="minorHAnsi"/>
          <w:sz w:val="22"/>
          <w:lang w:val="en-US"/>
        </w:rPr>
        <w:t xml:space="preserve">theless the social goal was connected to the economic one – when the economic situation improves, also the social conditions improve. </w:t>
      </w:r>
      <w:r w:rsidR="00AA76D9">
        <w:rPr>
          <w:rFonts w:asciiTheme="minorHAnsi" w:hAnsiTheme="minorHAnsi"/>
          <w:sz w:val="22"/>
          <w:lang w:val="en-US"/>
        </w:rPr>
        <w:t>Most respondents see a clear link between the AL policy and actions for work.</w:t>
      </w:r>
    </w:p>
    <w:p w:rsidR="005A28FD" w:rsidRDefault="005A28FD" w:rsidP="00B121AD">
      <w:pPr>
        <w:rPr>
          <w:rFonts w:asciiTheme="minorHAnsi" w:hAnsiTheme="minorHAnsi"/>
          <w:sz w:val="22"/>
          <w:lang w:val="en-US"/>
        </w:rPr>
      </w:pPr>
    </w:p>
    <w:p w:rsidR="005A28FD" w:rsidRDefault="005A28FD" w:rsidP="00B121AD">
      <w:pPr>
        <w:rPr>
          <w:rFonts w:asciiTheme="minorHAnsi" w:hAnsiTheme="minorHAnsi"/>
          <w:sz w:val="22"/>
          <w:lang w:val="en-US"/>
        </w:rPr>
      </w:pPr>
      <w:r>
        <w:rPr>
          <w:rFonts w:asciiTheme="minorHAnsi" w:hAnsiTheme="minorHAnsi"/>
          <w:sz w:val="22"/>
          <w:lang w:val="en-US"/>
        </w:rPr>
        <w:t>The national level representatives agreed that AL policy is a stand</w:t>
      </w:r>
      <w:r w:rsidR="00AA76D9">
        <w:rPr>
          <w:rFonts w:asciiTheme="minorHAnsi" w:hAnsiTheme="minorHAnsi"/>
          <w:sz w:val="22"/>
          <w:lang w:val="en-US"/>
        </w:rPr>
        <w:t>-</w:t>
      </w:r>
      <w:r>
        <w:rPr>
          <w:rFonts w:asciiTheme="minorHAnsi" w:hAnsiTheme="minorHAnsi"/>
          <w:sz w:val="22"/>
          <w:lang w:val="en-US"/>
        </w:rPr>
        <w:t xml:space="preserve">alone policy item, as it is not included in strategy papers on </w:t>
      </w:r>
      <w:r w:rsidR="0031725D">
        <w:rPr>
          <w:rFonts w:asciiTheme="minorHAnsi" w:hAnsiTheme="minorHAnsi"/>
          <w:sz w:val="22"/>
          <w:lang w:val="en-US"/>
        </w:rPr>
        <w:t xml:space="preserve">the </w:t>
      </w:r>
      <w:r>
        <w:rPr>
          <w:rFonts w:asciiTheme="minorHAnsi" w:hAnsiTheme="minorHAnsi"/>
          <w:sz w:val="22"/>
          <w:lang w:val="en-US"/>
        </w:rPr>
        <w:t>school system</w:t>
      </w:r>
      <w:r w:rsidR="0031725D">
        <w:rPr>
          <w:rFonts w:asciiTheme="minorHAnsi" w:hAnsiTheme="minorHAnsi"/>
          <w:sz w:val="22"/>
          <w:lang w:val="en-US"/>
        </w:rPr>
        <w:t xml:space="preserve"> and education</w:t>
      </w:r>
      <w:r>
        <w:rPr>
          <w:rFonts w:asciiTheme="minorHAnsi" w:hAnsiTheme="minorHAnsi"/>
          <w:sz w:val="22"/>
          <w:lang w:val="en-US"/>
        </w:rPr>
        <w:t xml:space="preserve">, and it is framed by a </w:t>
      </w:r>
      <w:r w:rsidR="00AA76D9">
        <w:rPr>
          <w:rFonts w:asciiTheme="minorHAnsi" w:hAnsiTheme="minorHAnsi"/>
          <w:sz w:val="22"/>
          <w:lang w:val="en-US"/>
        </w:rPr>
        <w:t xml:space="preserve">separate </w:t>
      </w:r>
      <w:r>
        <w:rPr>
          <w:rFonts w:asciiTheme="minorHAnsi" w:hAnsiTheme="minorHAnsi"/>
          <w:sz w:val="22"/>
          <w:lang w:val="en-US"/>
        </w:rPr>
        <w:t xml:space="preserve">national </w:t>
      </w:r>
      <w:r w:rsidR="00AA76D9">
        <w:rPr>
          <w:rFonts w:asciiTheme="minorHAnsi" w:hAnsiTheme="minorHAnsi"/>
          <w:sz w:val="22"/>
          <w:lang w:val="en-US"/>
        </w:rPr>
        <w:t>Law</w:t>
      </w:r>
      <w:r>
        <w:rPr>
          <w:rFonts w:asciiTheme="minorHAnsi" w:hAnsiTheme="minorHAnsi"/>
          <w:sz w:val="22"/>
          <w:lang w:val="en-US"/>
        </w:rPr>
        <w:t xml:space="preserve"> on </w:t>
      </w:r>
      <w:r w:rsidR="00AA76D9">
        <w:rPr>
          <w:rFonts w:asciiTheme="minorHAnsi" w:hAnsiTheme="minorHAnsi"/>
          <w:sz w:val="22"/>
          <w:lang w:val="en-US"/>
        </w:rPr>
        <w:t>L</w:t>
      </w:r>
      <w:r>
        <w:rPr>
          <w:rFonts w:asciiTheme="minorHAnsi" w:hAnsiTheme="minorHAnsi"/>
          <w:sz w:val="22"/>
          <w:lang w:val="en-US"/>
        </w:rPr>
        <w:t xml:space="preserve">ifelong </w:t>
      </w:r>
      <w:r w:rsidR="00AA76D9">
        <w:rPr>
          <w:rFonts w:asciiTheme="minorHAnsi" w:hAnsiTheme="minorHAnsi"/>
          <w:sz w:val="22"/>
          <w:lang w:val="en-US"/>
        </w:rPr>
        <w:t>L</w:t>
      </w:r>
      <w:r>
        <w:rPr>
          <w:rFonts w:asciiTheme="minorHAnsi" w:hAnsiTheme="minorHAnsi"/>
          <w:sz w:val="22"/>
          <w:lang w:val="en-US"/>
        </w:rPr>
        <w:t xml:space="preserve">earning from </w:t>
      </w:r>
      <w:r w:rsidR="00AA76D9">
        <w:rPr>
          <w:rFonts w:asciiTheme="minorHAnsi" w:hAnsiTheme="minorHAnsi"/>
          <w:sz w:val="22"/>
          <w:lang w:val="en-US"/>
        </w:rPr>
        <w:t>2</w:t>
      </w:r>
      <w:r>
        <w:rPr>
          <w:rFonts w:asciiTheme="minorHAnsi" w:hAnsiTheme="minorHAnsi"/>
          <w:sz w:val="22"/>
          <w:lang w:val="en-US"/>
        </w:rPr>
        <w:t xml:space="preserve">009 complemented with a Strategy on Lifelong Learning, updated in 2011. </w:t>
      </w:r>
      <w:r w:rsidR="00AA76D9">
        <w:rPr>
          <w:rFonts w:asciiTheme="minorHAnsi" w:hAnsiTheme="minorHAnsi"/>
          <w:sz w:val="22"/>
          <w:lang w:val="en-US"/>
        </w:rPr>
        <w:t>T</w:t>
      </w:r>
      <w:r>
        <w:rPr>
          <w:rFonts w:asciiTheme="minorHAnsi" w:hAnsiTheme="minorHAnsi"/>
          <w:sz w:val="22"/>
          <w:lang w:val="en-US"/>
        </w:rPr>
        <w:t xml:space="preserve">he regional policy makers felt that AL policy is included </w:t>
      </w:r>
      <w:r w:rsidR="00BF258B">
        <w:rPr>
          <w:rFonts w:asciiTheme="minorHAnsi" w:hAnsiTheme="minorHAnsi"/>
          <w:sz w:val="22"/>
          <w:lang w:val="en-US"/>
        </w:rPr>
        <w:t xml:space="preserve">in </w:t>
      </w:r>
      <w:r w:rsidR="00AA76D9">
        <w:rPr>
          <w:rFonts w:asciiTheme="minorHAnsi" w:hAnsiTheme="minorHAnsi"/>
          <w:sz w:val="22"/>
          <w:lang w:val="en-US"/>
        </w:rPr>
        <w:t>g</w:t>
      </w:r>
      <w:r w:rsidR="00BF258B">
        <w:rPr>
          <w:rFonts w:asciiTheme="minorHAnsi" w:hAnsiTheme="minorHAnsi"/>
          <w:sz w:val="22"/>
          <w:lang w:val="en-US"/>
        </w:rPr>
        <w:t>eneral education policy or simply not included.</w:t>
      </w:r>
    </w:p>
    <w:p w:rsidR="00BF258B" w:rsidRDefault="00BF258B" w:rsidP="00B121AD">
      <w:pPr>
        <w:rPr>
          <w:rFonts w:asciiTheme="minorHAnsi" w:hAnsiTheme="minorHAnsi"/>
          <w:sz w:val="22"/>
          <w:lang w:val="en-US"/>
        </w:rPr>
      </w:pPr>
    </w:p>
    <w:p w:rsidR="00AA76D9" w:rsidRDefault="00BF258B" w:rsidP="00B121AD">
      <w:pPr>
        <w:rPr>
          <w:rFonts w:asciiTheme="minorHAnsi" w:hAnsiTheme="minorHAnsi"/>
          <w:sz w:val="22"/>
          <w:lang w:val="en-US"/>
        </w:rPr>
      </w:pPr>
      <w:r>
        <w:rPr>
          <w:rFonts w:asciiTheme="minorHAnsi" w:hAnsiTheme="minorHAnsi"/>
          <w:sz w:val="22"/>
          <w:lang w:val="en-US"/>
        </w:rPr>
        <w:t xml:space="preserve">All respondents </w:t>
      </w:r>
      <w:r w:rsidR="00AA76D9">
        <w:rPr>
          <w:rFonts w:asciiTheme="minorHAnsi" w:hAnsiTheme="minorHAnsi"/>
          <w:sz w:val="22"/>
          <w:lang w:val="en-US"/>
        </w:rPr>
        <w:t xml:space="preserve">state </w:t>
      </w:r>
      <w:r>
        <w:rPr>
          <w:rFonts w:asciiTheme="minorHAnsi" w:hAnsiTheme="minorHAnsi"/>
          <w:sz w:val="22"/>
          <w:lang w:val="en-US"/>
        </w:rPr>
        <w:t xml:space="preserve">that whenever they pursue a certain initiative, they make consultations. They </w:t>
      </w:r>
      <w:r w:rsidR="00AA76D9">
        <w:rPr>
          <w:rFonts w:asciiTheme="minorHAnsi" w:hAnsiTheme="minorHAnsi"/>
          <w:sz w:val="22"/>
          <w:lang w:val="en-US"/>
        </w:rPr>
        <w:t>are organized o</w:t>
      </w:r>
      <w:r>
        <w:rPr>
          <w:rFonts w:asciiTheme="minorHAnsi" w:hAnsiTheme="minorHAnsi"/>
          <w:sz w:val="22"/>
          <w:lang w:val="en-US"/>
        </w:rPr>
        <w:t xml:space="preserve">n different levels and with different </w:t>
      </w:r>
      <w:r w:rsidR="0031725D">
        <w:rPr>
          <w:rFonts w:asciiTheme="minorHAnsi" w:hAnsiTheme="minorHAnsi"/>
          <w:sz w:val="22"/>
          <w:lang w:val="en-US"/>
        </w:rPr>
        <w:t>parties</w:t>
      </w:r>
      <w:r>
        <w:rPr>
          <w:rFonts w:asciiTheme="minorHAnsi" w:hAnsiTheme="minorHAnsi"/>
          <w:sz w:val="22"/>
          <w:lang w:val="en-US"/>
        </w:rPr>
        <w:t xml:space="preserve">, though. There is not a practice of preparing a sort of Green Paper, </w:t>
      </w:r>
      <w:r w:rsidR="0031725D">
        <w:rPr>
          <w:rFonts w:asciiTheme="minorHAnsi" w:hAnsiTheme="minorHAnsi"/>
          <w:sz w:val="22"/>
          <w:lang w:val="en-US"/>
        </w:rPr>
        <w:t xml:space="preserve">and </w:t>
      </w:r>
      <w:r>
        <w:rPr>
          <w:rFonts w:asciiTheme="minorHAnsi" w:hAnsiTheme="minorHAnsi"/>
          <w:sz w:val="22"/>
          <w:lang w:val="en-US"/>
        </w:rPr>
        <w:t xml:space="preserve">the consultation is done on the basis of a document drafted by the body responsible. The stakeholders </w:t>
      </w:r>
      <w:r w:rsidR="00AA76D9">
        <w:rPr>
          <w:rFonts w:asciiTheme="minorHAnsi" w:hAnsiTheme="minorHAnsi"/>
          <w:sz w:val="22"/>
          <w:lang w:val="en-US"/>
        </w:rPr>
        <w:t xml:space="preserve">for consultations </w:t>
      </w:r>
      <w:r>
        <w:rPr>
          <w:rFonts w:asciiTheme="minorHAnsi" w:hAnsiTheme="minorHAnsi"/>
          <w:sz w:val="22"/>
          <w:lang w:val="en-US"/>
        </w:rPr>
        <w:t xml:space="preserve">are </w:t>
      </w:r>
      <w:r w:rsidRPr="00AA76D9">
        <w:rPr>
          <w:rFonts w:asciiTheme="minorHAnsi" w:hAnsiTheme="minorHAnsi"/>
          <w:sz w:val="22"/>
          <w:lang w:val="en-US"/>
        </w:rPr>
        <w:t>identified on</w:t>
      </w:r>
      <w:r>
        <w:rPr>
          <w:rFonts w:asciiTheme="minorHAnsi" w:hAnsiTheme="minorHAnsi"/>
          <w:sz w:val="22"/>
          <w:lang w:val="en-US"/>
        </w:rPr>
        <w:t xml:space="preserve"> the basis of a prescribed list or </w:t>
      </w:r>
      <w:r w:rsidR="0031725D">
        <w:rPr>
          <w:rFonts w:asciiTheme="minorHAnsi" w:hAnsiTheme="minorHAnsi"/>
          <w:sz w:val="22"/>
          <w:lang w:val="en-US"/>
        </w:rPr>
        <w:t xml:space="preserve">on the basis of </w:t>
      </w:r>
      <w:r>
        <w:rPr>
          <w:rFonts w:asciiTheme="minorHAnsi" w:hAnsiTheme="minorHAnsi"/>
          <w:sz w:val="22"/>
          <w:lang w:val="en-US"/>
        </w:rPr>
        <w:t>processes from the past. The main stakeholders are business associations / private sector as the representatives of employers from the perspective of the regions, and also universities and civil society, seen by the nation</w:t>
      </w:r>
      <w:r w:rsidR="00AA76D9">
        <w:rPr>
          <w:rFonts w:asciiTheme="minorHAnsi" w:hAnsiTheme="minorHAnsi"/>
          <w:sz w:val="22"/>
          <w:lang w:val="en-US"/>
        </w:rPr>
        <w:t xml:space="preserve">al level </w:t>
      </w:r>
      <w:proofErr w:type="spellStart"/>
      <w:r>
        <w:rPr>
          <w:rFonts w:asciiTheme="minorHAnsi" w:hAnsiTheme="minorHAnsi"/>
          <w:sz w:val="22"/>
          <w:lang w:val="en-US"/>
        </w:rPr>
        <w:t>organisations</w:t>
      </w:r>
      <w:proofErr w:type="spellEnd"/>
      <w:r>
        <w:rPr>
          <w:rFonts w:asciiTheme="minorHAnsi" w:hAnsiTheme="minorHAnsi"/>
          <w:sz w:val="22"/>
          <w:lang w:val="en-US"/>
        </w:rPr>
        <w:t xml:space="preserve">. </w:t>
      </w:r>
      <w:r w:rsidR="00AF0BA4">
        <w:rPr>
          <w:rFonts w:asciiTheme="minorHAnsi" w:hAnsiTheme="minorHAnsi"/>
          <w:sz w:val="22"/>
          <w:lang w:val="en-US"/>
        </w:rPr>
        <w:t xml:space="preserve">The consultations are usually done at the beginning of the process, in case of need, and the reports on consultation process are usually not produced, unless a </w:t>
      </w:r>
      <w:r w:rsidR="00AA76D9">
        <w:rPr>
          <w:rFonts w:asciiTheme="minorHAnsi" w:hAnsiTheme="minorHAnsi"/>
          <w:sz w:val="22"/>
          <w:lang w:val="en-US"/>
        </w:rPr>
        <w:t xml:space="preserve">new </w:t>
      </w:r>
      <w:r w:rsidR="00AF0BA4">
        <w:rPr>
          <w:rFonts w:asciiTheme="minorHAnsi" w:hAnsiTheme="minorHAnsi"/>
          <w:sz w:val="22"/>
          <w:lang w:val="en-US"/>
        </w:rPr>
        <w:t>law is prepared. Then the consultation process is formalized and comments are collected</w:t>
      </w:r>
      <w:r w:rsidR="0031725D">
        <w:rPr>
          <w:rFonts w:asciiTheme="minorHAnsi" w:hAnsiTheme="minorHAnsi"/>
          <w:sz w:val="22"/>
          <w:lang w:val="en-US"/>
        </w:rPr>
        <w:t xml:space="preserve"> and included in the Explanatory Memorandum</w:t>
      </w:r>
      <w:r w:rsidR="00AF0BA4">
        <w:rPr>
          <w:rFonts w:asciiTheme="minorHAnsi" w:hAnsiTheme="minorHAnsi"/>
          <w:sz w:val="22"/>
          <w:lang w:val="en-US"/>
        </w:rPr>
        <w:t xml:space="preserve">. </w:t>
      </w:r>
    </w:p>
    <w:p w:rsidR="00AA76D9" w:rsidRDefault="00AA76D9" w:rsidP="00B121AD">
      <w:pPr>
        <w:rPr>
          <w:rFonts w:asciiTheme="minorHAnsi" w:hAnsiTheme="minorHAnsi"/>
          <w:sz w:val="22"/>
          <w:lang w:val="en-US"/>
        </w:rPr>
      </w:pPr>
    </w:p>
    <w:p w:rsidR="00BF258B" w:rsidRPr="009B31F5" w:rsidRDefault="00AF0BA4" w:rsidP="00B121AD">
      <w:pPr>
        <w:rPr>
          <w:rFonts w:ascii="Arial" w:eastAsia="Times New Roman" w:hAnsi="Arial" w:cs="Arial"/>
          <w:sz w:val="30"/>
          <w:szCs w:val="30"/>
          <w:lang w:val="sk-SK" w:eastAsia="sk-SK"/>
        </w:rPr>
      </w:pPr>
      <w:r>
        <w:rPr>
          <w:rFonts w:asciiTheme="minorHAnsi" w:hAnsiTheme="minorHAnsi"/>
          <w:sz w:val="22"/>
          <w:lang w:val="en-US"/>
        </w:rPr>
        <w:lastRenderedPageBreak/>
        <w:t xml:space="preserve">The respondents </w:t>
      </w:r>
      <w:r w:rsidR="00AA76D9">
        <w:rPr>
          <w:rFonts w:asciiTheme="minorHAnsi" w:hAnsiTheme="minorHAnsi"/>
          <w:sz w:val="22"/>
          <w:lang w:val="en-US"/>
        </w:rPr>
        <w:t xml:space="preserve">confirm </w:t>
      </w:r>
      <w:r>
        <w:rPr>
          <w:rFonts w:asciiTheme="minorHAnsi" w:hAnsiTheme="minorHAnsi"/>
          <w:sz w:val="22"/>
          <w:lang w:val="en-US"/>
        </w:rPr>
        <w:t>that also internal consultations take place</w:t>
      </w:r>
      <w:r w:rsidR="00107691">
        <w:rPr>
          <w:rFonts w:asciiTheme="minorHAnsi" w:hAnsiTheme="minorHAnsi"/>
          <w:sz w:val="22"/>
          <w:lang w:val="en-US"/>
        </w:rPr>
        <w:t>,</w:t>
      </w:r>
      <w:r>
        <w:rPr>
          <w:rFonts w:asciiTheme="minorHAnsi" w:hAnsiTheme="minorHAnsi"/>
          <w:sz w:val="22"/>
          <w:lang w:val="en-US"/>
        </w:rPr>
        <w:t xml:space="preserve"> with the aim to </w:t>
      </w:r>
      <w:proofErr w:type="spellStart"/>
      <w:r>
        <w:rPr>
          <w:rFonts w:asciiTheme="minorHAnsi" w:hAnsiTheme="minorHAnsi"/>
          <w:sz w:val="22"/>
          <w:lang w:val="en-US"/>
        </w:rPr>
        <w:t>harmonise</w:t>
      </w:r>
      <w:proofErr w:type="spellEnd"/>
      <w:r>
        <w:rPr>
          <w:rFonts w:asciiTheme="minorHAnsi" w:hAnsiTheme="minorHAnsi"/>
          <w:sz w:val="22"/>
          <w:lang w:val="en-US"/>
        </w:rPr>
        <w:t xml:space="preserve"> individual steps in implementation of the policy</w:t>
      </w:r>
      <w:r w:rsidR="00A56B01">
        <w:rPr>
          <w:rFonts w:asciiTheme="minorHAnsi" w:hAnsiTheme="minorHAnsi"/>
          <w:sz w:val="22"/>
          <w:lang w:val="en-US"/>
        </w:rPr>
        <w:t xml:space="preserve"> within an </w:t>
      </w:r>
      <w:proofErr w:type="spellStart"/>
      <w:r w:rsidR="00A56B01">
        <w:rPr>
          <w:rFonts w:asciiTheme="minorHAnsi" w:hAnsiTheme="minorHAnsi"/>
          <w:sz w:val="22"/>
          <w:lang w:val="en-US"/>
        </w:rPr>
        <w:t>organisation</w:t>
      </w:r>
      <w:proofErr w:type="spellEnd"/>
      <w:r>
        <w:rPr>
          <w:rFonts w:asciiTheme="minorHAnsi" w:hAnsiTheme="minorHAnsi"/>
          <w:sz w:val="22"/>
          <w:lang w:val="en-US"/>
        </w:rPr>
        <w:t xml:space="preserve">. </w:t>
      </w:r>
      <w:r w:rsidR="00107691">
        <w:rPr>
          <w:rFonts w:asciiTheme="minorHAnsi" w:hAnsiTheme="minorHAnsi"/>
          <w:sz w:val="22"/>
          <w:lang w:val="en-US"/>
        </w:rPr>
        <w:t xml:space="preserve">These internal consultations tend to be informal. </w:t>
      </w:r>
      <w:r>
        <w:rPr>
          <w:rFonts w:asciiTheme="minorHAnsi" w:hAnsiTheme="minorHAnsi"/>
          <w:sz w:val="22"/>
          <w:lang w:val="en-US"/>
        </w:rPr>
        <w:t>Also other documents/</w:t>
      </w:r>
      <w:proofErr w:type="spellStart"/>
      <w:r>
        <w:rPr>
          <w:rFonts w:asciiTheme="minorHAnsi" w:hAnsiTheme="minorHAnsi"/>
          <w:sz w:val="22"/>
          <w:lang w:val="en-US"/>
        </w:rPr>
        <w:t>programmes</w:t>
      </w:r>
      <w:proofErr w:type="spellEnd"/>
      <w:r>
        <w:rPr>
          <w:rFonts w:asciiTheme="minorHAnsi" w:hAnsiTheme="minorHAnsi"/>
          <w:sz w:val="22"/>
          <w:lang w:val="en-US"/>
        </w:rPr>
        <w:t xml:space="preserve"> are taken into consid</w:t>
      </w:r>
      <w:r w:rsidR="00AA76D9">
        <w:rPr>
          <w:rFonts w:asciiTheme="minorHAnsi" w:hAnsiTheme="minorHAnsi"/>
          <w:sz w:val="22"/>
          <w:lang w:val="en-US"/>
        </w:rPr>
        <w:t>er</w:t>
      </w:r>
      <w:r>
        <w:rPr>
          <w:rFonts w:asciiTheme="minorHAnsi" w:hAnsiTheme="minorHAnsi"/>
          <w:sz w:val="22"/>
          <w:lang w:val="en-US"/>
        </w:rPr>
        <w:t xml:space="preserve">ation – </w:t>
      </w:r>
      <w:r w:rsidR="00107691">
        <w:rPr>
          <w:rFonts w:asciiTheme="minorHAnsi" w:hAnsiTheme="minorHAnsi"/>
          <w:sz w:val="22"/>
          <w:lang w:val="en-US"/>
        </w:rPr>
        <w:t xml:space="preserve">at </w:t>
      </w:r>
      <w:r>
        <w:rPr>
          <w:rFonts w:asciiTheme="minorHAnsi" w:hAnsiTheme="minorHAnsi"/>
          <w:sz w:val="22"/>
          <w:lang w:val="en-US"/>
        </w:rPr>
        <w:t>national level</w:t>
      </w:r>
      <w:r w:rsidR="00107691">
        <w:rPr>
          <w:rFonts w:asciiTheme="minorHAnsi" w:hAnsiTheme="minorHAnsi"/>
          <w:sz w:val="22"/>
          <w:lang w:val="en-US"/>
        </w:rPr>
        <w:t>:</w:t>
      </w:r>
      <w:r>
        <w:rPr>
          <w:rFonts w:asciiTheme="minorHAnsi" w:hAnsiTheme="minorHAnsi"/>
          <w:sz w:val="22"/>
          <w:lang w:val="en-US"/>
        </w:rPr>
        <w:t xml:space="preserve"> the Law on LLL and Strategy on LLL, government </w:t>
      </w:r>
      <w:proofErr w:type="spellStart"/>
      <w:r>
        <w:rPr>
          <w:rFonts w:asciiTheme="minorHAnsi" w:hAnsiTheme="minorHAnsi"/>
          <w:sz w:val="22"/>
          <w:lang w:val="en-US"/>
        </w:rPr>
        <w:t>programme</w:t>
      </w:r>
      <w:proofErr w:type="spellEnd"/>
      <w:r w:rsidR="00107691">
        <w:rPr>
          <w:rFonts w:asciiTheme="minorHAnsi" w:hAnsiTheme="minorHAnsi"/>
          <w:sz w:val="22"/>
          <w:lang w:val="en-GB"/>
        </w:rPr>
        <w:t>;</w:t>
      </w:r>
      <w:r>
        <w:rPr>
          <w:rFonts w:asciiTheme="minorHAnsi" w:hAnsiTheme="minorHAnsi"/>
          <w:sz w:val="22"/>
          <w:lang w:val="en-US"/>
        </w:rPr>
        <w:t xml:space="preserve"> on the EU level</w:t>
      </w:r>
      <w:r w:rsidR="00107691">
        <w:rPr>
          <w:rFonts w:asciiTheme="minorHAnsi" w:hAnsiTheme="minorHAnsi"/>
          <w:sz w:val="22"/>
          <w:lang w:val="en-US"/>
        </w:rPr>
        <w:t>:</w:t>
      </w:r>
      <w:r>
        <w:rPr>
          <w:rFonts w:asciiTheme="minorHAnsi" w:hAnsiTheme="minorHAnsi"/>
          <w:sz w:val="22"/>
          <w:lang w:val="en-US"/>
        </w:rPr>
        <w:t xml:space="preserve"> </w:t>
      </w:r>
      <w:proofErr w:type="spellStart"/>
      <w:r>
        <w:rPr>
          <w:rFonts w:asciiTheme="minorHAnsi" w:hAnsiTheme="minorHAnsi"/>
          <w:sz w:val="22"/>
          <w:lang w:val="en-US"/>
        </w:rPr>
        <w:t>Europa</w:t>
      </w:r>
      <w:proofErr w:type="spellEnd"/>
      <w:r>
        <w:rPr>
          <w:rFonts w:asciiTheme="minorHAnsi" w:hAnsiTheme="minorHAnsi"/>
          <w:sz w:val="22"/>
          <w:lang w:val="en-US"/>
        </w:rPr>
        <w:t xml:space="preserve"> 2020, Structural Funds documents and AL documents. Regarding the data sources, there are </w:t>
      </w:r>
      <w:proofErr w:type="spellStart"/>
      <w:r>
        <w:rPr>
          <w:rFonts w:asciiTheme="minorHAnsi" w:hAnsiTheme="minorHAnsi"/>
          <w:sz w:val="22"/>
          <w:lang w:val="en-US"/>
        </w:rPr>
        <w:t>Eurostat</w:t>
      </w:r>
      <w:proofErr w:type="spellEnd"/>
      <w:r>
        <w:rPr>
          <w:rFonts w:asciiTheme="minorHAnsi" w:hAnsiTheme="minorHAnsi"/>
          <w:sz w:val="22"/>
          <w:lang w:val="en-US"/>
        </w:rPr>
        <w:t xml:space="preserve"> data used, national statistics (on further education, for example), regional statistics</w:t>
      </w:r>
      <w:r w:rsidR="00EB6837">
        <w:rPr>
          <w:rFonts w:asciiTheme="minorHAnsi" w:hAnsiTheme="minorHAnsi"/>
          <w:sz w:val="22"/>
          <w:lang w:val="en-US"/>
        </w:rPr>
        <w:t>.</w:t>
      </w:r>
    </w:p>
    <w:p w:rsidR="009B31F5" w:rsidRDefault="0024505C" w:rsidP="009B31F5">
      <w:pPr>
        <w:rPr>
          <w:rFonts w:asciiTheme="minorHAnsi" w:hAnsiTheme="minorHAnsi"/>
          <w:sz w:val="22"/>
          <w:lang w:val="en-US"/>
        </w:rPr>
      </w:pPr>
      <w:r w:rsidRPr="0024505C">
        <w:rPr>
          <w:rFonts w:asciiTheme="minorHAnsi" w:hAnsiTheme="minorHAnsi"/>
          <w:sz w:val="22"/>
          <w:lang w:val="en-US"/>
        </w:rPr>
        <w:t xml:space="preserve">According to all respondents, the final documents are made </w:t>
      </w:r>
      <w:proofErr w:type="gramStart"/>
      <w:r w:rsidRPr="0024505C">
        <w:rPr>
          <w:rFonts w:asciiTheme="minorHAnsi" w:hAnsiTheme="minorHAnsi"/>
          <w:sz w:val="22"/>
          <w:lang w:val="en-US"/>
        </w:rPr>
        <w:t>available,</w:t>
      </w:r>
      <w:proofErr w:type="gramEnd"/>
      <w:r w:rsidRPr="0024505C">
        <w:rPr>
          <w:rFonts w:asciiTheme="minorHAnsi" w:hAnsiTheme="minorHAnsi"/>
          <w:sz w:val="22"/>
          <w:lang w:val="en-US"/>
        </w:rPr>
        <w:t xml:space="preserve"> </w:t>
      </w:r>
      <w:r>
        <w:rPr>
          <w:rFonts w:asciiTheme="minorHAnsi" w:hAnsiTheme="minorHAnsi"/>
          <w:sz w:val="22"/>
          <w:lang w:val="en-US"/>
        </w:rPr>
        <w:t xml:space="preserve">however there is not a practice to publish the minutes of meetings or summaries of comments of informal consultations. A different situation is with </w:t>
      </w:r>
      <w:r w:rsidR="00107691">
        <w:rPr>
          <w:rFonts w:asciiTheme="minorHAnsi" w:hAnsiTheme="minorHAnsi"/>
          <w:sz w:val="22"/>
          <w:lang w:val="en-US"/>
        </w:rPr>
        <w:t xml:space="preserve">drafting new </w:t>
      </w:r>
      <w:r>
        <w:rPr>
          <w:rFonts w:asciiTheme="minorHAnsi" w:hAnsiTheme="minorHAnsi"/>
          <w:sz w:val="22"/>
          <w:lang w:val="en-US"/>
        </w:rPr>
        <w:t>laws when all the comments are collected together with responses or final solutions.</w:t>
      </w:r>
    </w:p>
    <w:p w:rsidR="00107691" w:rsidRDefault="00107691" w:rsidP="009B31F5">
      <w:pPr>
        <w:rPr>
          <w:rFonts w:asciiTheme="minorHAnsi" w:hAnsiTheme="minorHAnsi"/>
          <w:sz w:val="22"/>
          <w:lang w:val="en-US"/>
        </w:rPr>
      </w:pPr>
    </w:p>
    <w:p w:rsidR="0024505C" w:rsidRDefault="0024505C" w:rsidP="009B31F5">
      <w:pPr>
        <w:rPr>
          <w:rFonts w:asciiTheme="minorHAnsi" w:hAnsiTheme="minorHAnsi"/>
          <w:sz w:val="22"/>
          <w:lang w:val="en-US"/>
        </w:rPr>
      </w:pPr>
      <w:r>
        <w:rPr>
          <w:rFonts w:asciiTheme="minorHAnsi" w:hAnsiTheme="minorHAnsi"/>
          <w:sz w:val="22"/>
          <w:lang w:val="en-US"/>
        </w:rPr>
        <w:t>On the regional</w:t>
      </w:r>
      <w:r w:rsidR="00107691">
        <w:rPr>
          <w:rFonts w:asciiTheme="minorHAnsi" w:hAnsiTheme="minorHAnsi"/>
          <w:sz w:val="22"/>
          <w:lang w:val="en-US"/>
        </w:rPr>
        <w:t xml:space="preserve"> level</w:t>
      </w:r>
      <w:r>
        <w:rPr>
          <w:rFonts w:asciiTheme="minorHAnsi" w:hAnsiTheme="minorHAnsi"/>
          <w:sz w:val="22"/>
          <w:lang w:val="en-US"/>
        </w:rPr>
        <w:t>, the most important documents that are consulted are regional development plans, national education policies, including lifelong learning. On the national level, the EU documents are m</w:t>
      </w:r>
      <w:r w:rsidR="00107691">
        <w:rPr>
          <w:rFonts w:asciiTheme="minorHAnsi" w:hAnsiTheme="minorHAnsi"/>
          <w:sz w:val="22"/>
          <w:lang w:val="en-US"/>
        </w:rPr>
        <w:t xml:space="preserve">ainly </w:t>
      </w:r>
      <w:r>
        <w:rPr>
          <w:rFonts w:asciiTheme="minorHAnsi" w:hAnsiTheme="minorHAnsi"/>
          <w:sz w:val="22"/>
          <w:lang w:val="en-US"/>
        </w:rPr>
        <w:t xml:space="preserve">reflected, such as European Agenda for Adult Learning (2011), </w:t>
      </w:r>
      <w:r w:rsidR="003E6C5F">
        <w:rPr>
          <w:rFonts w:asciiTheme="minorHAnsi" w:hAnsiTheme="minorHAnsi"/>
          <w:sz w:val="22"/>
          <w:lang w:val="en-US"/>
        </w:rPr>
        <w:t>CEDEFOP documents</w:t>
      </w:r>
      <w:r w:rsidR="00F66C0A">
        <w:rPr>
          <w:rFonts w:asciiTheme="minorHAnsi" w:hAnsiTheme="minorHAnsi"/>
          <w:sz w:val="22"/>
          <w:lang w:val="en-US"/>
        </w:rPr>
        <w:t xml:space="preserve">, </w:t>
      </w:r>
      <w:proofErr w:type="spellStart"/>
      <w:r w:rsidR="00F66C0A">
        <w:rPr>
          <w:rFonts w:asciiTheme="minorHAnsi" w:hAnsiTheme="minorHAnsi"/>
          <w:sz w:val="22"/>
          <w:lang w:val="en-US"/>
        </w:rPr>
        <w:t>Europa</w:t>
      </w:r>
      <w:proofErr w:type="spellEnd"/>
      <w:r w:rsidR="00F66C0A">
        <w:rPr>
          <w:rFonts w:asciiTheme="minorHAnsi" w:hAnsiTheme="minorHAnsi"/>
          <w:sz w:val="22"/>
          <w:lang w:val="en-US"/>
        </w:rPr>
        <w:t xml:space="preserve"> 2020, European Qualification Framework.</w:t>
      </w:r>
    </w:p>
    <w:p w:rsidR="00107691" w:rsidRDefault="00107691" w:rsidP="009B31F5">
      <w:pPr>
        <w:rPr>
          <w:rFonts w:asciiTheme="minorHAnsi" w:hAnsiTheme="minorHAnsi"/>
          <w:sz w:val="22"/>
          <w:lang w:val="en-US"/>
        </w:rPr>
      </w:pPr>
    </w:p>
    <w:p w:rsidR="00F66C0A" w:rsidRDefault="00F66C0A" w:rsidP="009B31F5">
      <w:pPr>
        <w:rPr>
          <w:rFonts w:asciiTheme="minorHAnsi" w:hAnsiTheme="minorHAnsi"/>
          <w:sz w:val="22"/>
          <w:lang w:val="en-US"/>
        </w:rPr>
      </w:pPr>
      <w:r>
        <w:rPr>
          <w:rFonts w:asciiTheme="minorHAnsi" w:hAnsiTheme="minorHAnsi"/>
          <w:sz w:val="22"/>
          <w:lang w:val="en-US"/>
        </w:rPr>
        <w:t xml:space="preserve">With regard to specific data sources, the respondents at regional level listed the regional statistics on employment, reports from the Central </w:t>
      </w:r>
      <w:proofErr w:type="spellStart"/>
      <w:r w:rsidR="00A56B01">
        <w:rPr>
          <w:rFonts w:asciiTheme="minorHAnsi" w:hAnsiTheme="minorHAnsi"/>
          <w:sz w:val="22"/>
          <w:lang w:val="en-US"/>
        </w:rPr>
        <w:t>Labour</w:t>
      </w:r>
      <w:proofErr w:type="spellEnd"/>
      <w:r w:rsidR="00A56B01">
        <w:rPr>
          <w:rFonts w:asciiTheme="minorHAnsi" w:hAnsiTheme="minorHAnsi"/>
          <w:sz w:val="22"/>
          <w:lang w:val="en-US"/>
        </w:rPr>
        <w:t xml:space="preserve"> </w:t>
      </w:r>
      <w:r>
        <w:rPr>
          <w:rFonts w:asciiTheme="minorHAnsi" w:hAnsiTheme="minorHAnsi"/>
          <w:sz w:val="22"/>
          <w:lang w:val="en-US"/>
        </w:rPr>
        <w:t xml:space="preserve">Office. The national level respondents mentioned the national information system on accredited training </w:t>
      </w:r>
      <w:proofErr w:type="spellStart"/>
      <w:r>
        <w:rPr>
          <w:rFonts w:asciiTheme="minorHAnsi" w:hAnsiTheme="minorHAnsi"/>
          <w:sz w:val="22"/>
          <w:lang w:val="en-US"/>
        </w:rPr>
        <w:t>programmes</w:t>
      </w:r>
      <w:proofErr w:type="spellEnd"/>
      <w:r>
        <w:rPr>
          <w:rFonts w:asciiTheme="minorHAnsi" w:hAnsiTheme="minorHAnsi"/>
          <w:sz w:val="22"/>
          <w:lang w:val="en-US"/>
        </w:rPr>
        <w:t xml:space="preserve">, statistics on adult learning, on the EU/international level it was </w:t>
      </w:r>
      <w:proofErr w:type="spellStart"/>
      <w:r>
        <w:rPr>
          <w:rFonts w:asciiTheme="minorHAnsi" w:hAnsiTheme="minorHAnsi"/>
          <w:sz w:val="22"/>
          <w:lang w:val="en-US"/>
        </w:rPr>
        <w:t>Eurostat</w:t>
      </w:r>
      <w:proofErr w:type="spellEnd"/>
      <w:r>
        <w:rPr>
          <w:rFonts w:asciiTheme="minorHAnsi" w:hAnsiTheme="minorHAnsi"/>
          <w:sz w:val="22"/>
          <w:lang w:val="en-US"/>
        </w:rPr>
        <w:t xml:space="preserve"> and </w:t>
      </w:r>
      <w:proofErr w:type="spellStart"/>
      <w:r>
        <w:rPr>
          <w:rFonts w:asciiTheme="minorHAnsi" w:hAnsiTheme="minorHAnsi"/>
          <w:sz w:val="22"/>
          <w:lang w:val="en-US"/>
        </w:rPr>
        <w:t>RegDat</w:t>
      </w:r>
      <w:r w:rsidR="00107691">
        <w:rPr>
          <w:rFonts w:asciiTheme="minorHAnsi" w:hAnsiTheme="minorHAnsi"/>
          <w:sz w:val="22"/>
          <w:lang w:val="en-US"/>
        </w:rPr>
        <w:t>a</w:t>
      </w:r>
      <w:proofErr w:type="spellEnd"/>
      <w:r>
        <w:rPr>
          <w:rFonts w:asciiTheme="minorHAnsi" w:hAnsiTheme="minorHAnsi"/>
          <w:sz w:val="22"/>
          <w:lang w:val="en-US"/>
        </w:rPr>
        <w:t xml:space="preserve"> as well as </w:t>
      </w:r>
      <w:r w:rsidR="00107691">
        <w:rPr>
          <w:rFonts w:asciiTheme="minorHAnsi" w:hAnsiTheme="minorHAnsi"/>
          <w:sz w:val="22"/>
          <w:lang w:val="en-US"/>
        </w:rPr>
        <w:t>the PIAAC survey.</w:t>
      </w:r>
    </w:p>
    <w:p w:rsidR="00107691" w:rsidRDefault="00107691" w:rsidP="009B31F5">
      <w:pPr>
        <w:rPr>
          <w:rFonts w:asciiTheme="minorHAnsi" w:hAnsiTheme="minorHAnsi"/>
          <w:sz w:val="22"/>
          <w:lang w:val="en-US"/>
        </w:rPr>
      </w:pPr>
    </w:p>
    <w:p w:rsidR="00F66C0A" w:rsidRDefault="00F66C0A" w:rsidP="009B31F5">
      <w:pPr>
        <w:rPr>
          <w:rFonts w:asciiTheme="minorHAnsi" w:hAnsiTheme="minorHAnsi"/>
          <w:sz w:val="22"/>
          <w:lang w:val="en-US"/>
        </w:rPr>
      </w:pPr>
      <w:r>
        <w:rPr>
          <w:rFonts w:asciiTheme="minorHAnsi" w:hAnsiTheme="minorHAnsi"/>
          <w:sz w:val="22"/>
          <w:lang w:val="en-US"/>
        </w:rPr>
        <w:t>All respondents reported that they have contacts with other subje</w:t>
      </w:r>
      <w:r w:rsidR="00A56B01">
        <w:rPr>
          <w:rFonts w:asciiTheme="minorHAnsi" w:hAnsiTheme="minorHAnsi"/>
          <w:sz w:val="22"/>
          <w:lang w:val="en-US"/>
        </w:rPr>
        <w:t>c</w:t>
      </w:r>
      <w:r>
        <w:rPr>
          <w:rFonts w:asciiTheme="minorHAnsi" w:hAnsiTheme="minorHAnsi"/>
          <w:sz w:val="22"/>
          <w:lang w:val="en-US"/>
        </w:rPr>
        <w:t xml:space="preserve">ts. Whether on the regional or national level, there are contacts for example with the Czech </w:t>
      </w:r>
      <w:proofErr w:type="spellStart"/>
      <w:r>
        <w:rPr>
          <w:rFonts w:asciiTheme="minorHAnsi" w:hAnsiTheme="minorHAnsi"/>
          <w:sz w:val="22"/>
          <w:lang w:val="en-US"/>
        </w:rPr>
        <w:t>organisations</w:t>
      </w:r>
      <w:proofErr w:type="spellEnd"/>
      <w:r>
        <w:rPr>
          <w:rFonts w:asciiTheme="minorHAnsi" w:hAnsiTheme="minorHAnsi"/>
          <w:sz w:val="22"/>
          <w:lang w:val="en-US"/>
        </w:rPr>
        <w:t xml:space="preserve">. Many contacts at the national level are maintained through the </w:t>
      </w:r>
      <w:r w:rsidR="005636AE">
        <w:rPr>
          <w:rFonts w:asciiTheme="minorHAnsi" w:hAnsiTheme="minorHAnsi"/>
          <w:sz w:val="22"/>
          <w:lang w:val="en-US"/>
        </w:rPr>
        <w:t xml:space="preserve">EU-wide </w:t>
      </w:r>
      <w:proofErr w:type="spellStart"/>
      <w:r w:rsidR="005636AE">
        <w:rPr>
          <w:rFonts w:asciiTheme="minorHAnsi" w:hAnsiTheme="minorHAnsi"/>
          <w:sz w:val="22"/>
          <w:lang w:val="en-US"/>
        </w:rPr>
        <w:t>fora</w:t>
      </w:r>
      <w:proofErr w:type="spellEnd"/>
      <w:r w:rsidR="005636AE">
        <w:rPr>
          <w:rFonts w:asciiTheme="minorHAnsi" w:hAnsiTheme="minorHAnsi"/>
          <w:sz w:val="22"/>
          <w:lang w:val="en-US"/>
        </w:rPr>
        <w:t xml:space="preserve">. </w:t>
      </w:r>
    </w:p>
    <w:p w:rsidR="00107691" w:rsidRDefault="00107691" w:rsidP="009B31F5">
      <w:pPr>
        <w:rPr>
          <w:rFonts w:asciiTheme="minorHAnsi" w:hAnsiTheme="minorHAnsi"/>
          <w:sz w:val="22"/>
          <w:lang w:val="en-US"/>
        </w:rPr>
      </w:pPr>
    </w:p>
    <w:p w:rsidR="005636AE" w:rsidRPr="0024505C" w:rsidRDefault="005636AE" w:rsidP="009B31F5">
      <w:pPr>
        <w:rPr>
          <w:rFonts w:asciiTheme="minorHAnsi" w:hAnsiTheme="minorHAnsi"/>
          <w:sz w:val="22"/>
          <w:lang w:val="en-US"/>
        </w:rPr>
      </w:pPr>
      <w:r>
        <w:rPr>
          <w:rFonts w:asciiTheme="minorHAnsi" w:hAnsiTheme="minorHAnsi"/>
          <w:sz w:val="22"/>
          <w:lang w:val="en-US"/>
        </w:rPr>
        <w:t xml:space="preserve">Since there is no </w:t>
      </w:r>
      <w:r w:rsidR="0056733E">
        <w:rPr>
          <w:rFonts w:asciiTheme="minorHAnsi" w:hAnsiTheme="minorHAnsi"/>
          <w:sz w:val="22"/>
          <w:lang w:val="en-US"/>
        </w:rPr>
        <w:t xml:space="preserve">comprehensive </w:t>
      </w:r>
      <w:r>
        <w:rPr>
          <w:rFonts w:asciiTheme="minorHAnsi" w:hAnsiTheme="minorHAnsi"/>
          <w:sz w:val="22"/>
          <w:lang w:val="en-US"/>
        </w:rPr>
        <w:t>AL policy</w:t>
      </w:r>
      <w:r w:rsidR="0056733E">
        <w:rPr>
          <w:rFonts w:asciiTheme="minorHAnsi" w:hAnsiTheme="minorHAnsi"/>
          <w:sz w:val="22"/>
          <w:lang w:val="en-US"/>
        </w:rPr>
        <w:t xml:space="preserve"> </w:t>
      </w:r>
      <w:r w:rsidR="00107691">
        <w:rPr>
          <w:rFonts w:asciiTheme="minorHAnsi" w:hAnsiTheme="minorHAnsi"/>
          <w:sz w:val="22"/>
          <w:lang w:val="en-US"/>
        </w:rPr>
        <w:t xml:space="preserve">and policy cycle </w:t>
      </w:r>
      <w:r w:rsidR="0056733E">
        <w:rPr>
          <w:rFonts w:asciiTheme="minorHAnsi" w:hAnsiTheme="minorHAnsi"/>
          <w:sz w:val="22"/>
          <w:lang w:val="en-US"/>
        </w:rPr>
        <w:t>in place</w:t>
      </w:r>
      <w:r>
        <w:rPr>
          <w:rFonts w:asciiTheme="minorHAnsi" w:hAnsiTheme="minorHAnsi"/>
          <w:sz w:val="22"/>
          <w:lang w:val="en-US"/>
        </w:rPr>
        <w:t>, there is also no evaluation system in place.</w:t>
      </w:r>
    </w:p>
    <w:p w:rsidR="009B31F5" w:rsidRDefault="009B31F5">
      <w:pPr>
        <w:rPr>
          <w:rFonts w:asciiTheme="minorHAnsi" w:hAnsiTheme="minorHAnsi"/>
          <w:sz w:val="22"/>
          <w:lang w:val="en-US"/>
        </w:rPr>
      </w:pPr>
    </w:p>
    <w:p w:rsidR="001A7AE0" w:rsidRDefault="001A7AE0">
      <w:pPr>
        <w:rPr>
          <w:rFonts w:asciiTheme="minorHAnsi" w:hAnsiTheme="minorHAnsi"/>
          <w:sz w:val="22"/>
          <w:lang w:val="en-US"/>
        </w:rPr>
      </w:pPr>
    </w:p>
    <w:p w:rsidR="00E057F6" w:rsidRDefault="00E057F6">
      <w:pPr>
        <w:rPr>
          <w:rFonts w:asciiTheme="minorHAnsi" w:hAnsiTheme="minorHAnsi"/>
          <w:sz w:val="22"/>
          <w:lang w:val="en-US"/>
        </w:rPr>
      </w:pPr>
    </w:p>
    <w:p w:rsidR="001A7AE0" w:rsidRDefault="001A7AE0">
      <w:pPr>
        <w:rPr>
          <w:rFonts w:asciiTheme="minorHAnsi" w:hAnsiTheme="minorHAnsi"/>
          <w:sz w:val="22"/>
          <w:lang w:val="en-US"/>
        </w:rPr>
      </w:pPr>
      <w:r>
        <w:rPr>
          <w:rFonts w:asciiTheme="minorHAnsi" w:hAnsiTheme="minorHAnsi"/>
          <w:sz w:val="22"/>
          <w:lang w:val="en-US"/>
        </w:rPr>
        <w:t>On the regional level there seems to be an automatic intra-</w:t>
      </w:r>
      <w:proofErr w:type="gramStart"/>
      <w:r>
        <w:rPr>
          <w:rFonts w:asciiTheme="minorHAnsi" w:hAnsiTheme="minorHAnsi"/>
          <w:sz w:val="22"/>
          <w:lang w:val="en-US"/>
        </w:rPr>
        <w:t>service  consultation</w:t>
      </w:r>
      <w:proofErr w:type="gramEnd"/>
      <w:r>
        <w:rPr>
          <w:rFonts w:asciiTheme="minorHAnsi" w:hAnsiTheme="minorHAnsi"/>
          <w:sz w:val="22"/>
          <w:lang w:val="en-US"/>
        </w:rPr>
        <w:t xml:space="preserve"> and in case of larger planning documents they also rely on help of </w:t>
      </w:r>
      <w:r w:rsidR="004D14A4">
        <w:rPr>
          <w:rFonts w:asciiTheme="minorHAnsi" w:hAnsiTheme="minorHAnsi"/>
          <w:sz w:val="22"/>
          <w:lang w:val="en-US"/>
        </w:rPr>
        <w:t xml:space="preserve">external </w:t>
      </w:r>
      <w:r>
        <w:rPr>
          <w:rFonts w:asciiTheme="minorHAnsi" w:hAnsiTheme="minorHAnsi"/>
          <w:sz w:val="22"/>
          <w:lang w:val="en-US"/>
        </w:rPr>
        <w:t>advisory committees.</w:t>
      </w:r>
    </w:p>
    <w:p w:rsidR="001A7AE0" w:rsidRDefault="001A7AE0">
      <w:pPr>
        <w:rPr>
          <w:rFonts w:asciiTheme="minorHAnsi" w:hAnsiTheme="minorHAnsi"/>
          <w:sz w:val="22"/>
          <w:lang w:val="en-US"/>
        </w:rPr>
      </w:pPr>
    </w:p>
    <w:p w:rsidR="001A7AE0" w:rsidRDefault="001A7AE0">
      <w:pPr>
        <w:rPr>
          <w:rFonts w:asciiTheme="minorHAnsi" w:hAnsiTheme="minorHAnsi"/>
          <w:sz w:val="22"/>
          <w:lang w:val="en-US"/>
        </w:rPr>
      </w:pPr>
      <w:r>
        <w:rPr>
          <w:rFonts w:asciiTheme="minorHAnsi" w:hAnsiTheme="minorHAnsi"/>
          <w:sz w:val="22"/>
          <w:lang w:val="en-US"/>
        </w:rPr>
        <w:t xml:space="preserve">The regional planning </w:t>
      </w:r>
      <w:r w:rsidR="004D14A4">
        <w:rPr>
          <w:rFonts w:asciiTheme="minorHAnsi" w:hAnsiTheme="minorHAnsi"/>
          <w:sz w:val="22"/>
          <w:lang w:val="en-US"/>
        </w:rPr>
        <w:t xml:space="preserve">in general is </w:t>
      </w:r>
      <w:r>
        <w:rPr>
          <w:rFonts w:asciiTheme="minorHAnsi" w:hAnsiTheme="minorHAnsi"/>
          <w:sz w:val="22"/>
          <w:lang w:val="en-US"/>
        </w:rPr>
        <w:t>very much linked to structural funds programming cycles and administrative requirements thereof.</w:t>
      </w:r>
    </w:p>
    <w:p w:rsidR="00D31F73" w:rsidRPr="00342595" w:rsidRDefault="00D31F73" w:rsidP="00342595">
      <w:pPr>
        <w:rPr>
          <w:rFonts w:asciiTheme="minorHAnsi" w:hAnsiTheme="minorHAnsi"/>
          <w:b/>
          <w:sz w:val="22"/>
          <w:lang w:val="en-US"/>
        </w:rPr>
      </w:pPr>
      <w:bookmarkStart w:id="4" w:name="_Toc372035095"/>
      <w:r w:rsidRPr="00D31F73">
        <w:rPr>
          <w:lang w:val="en-US"/>
        </w:rPr>
        <w:br w:type="page"/>
      </w:r>
      <w:r w:rsidRPr="00342595">
        <w:rPr>
          <w:rFonts w:asciiTheme="minorHAnsi" w:hAnsiTheme="minorHAnsi"/>
          <w:b/>
          <w:sz w:val="22"/>
          <w:lang w:val="en-US"/>
        </w:rPr>
        <w:lastRenderedPageBreak/>
        <w:t>Policy Implementation</w:t>
      </w:r>
      <w:bookmarkEnd w:id="4"/>
    </w:p>
    <w:p w:rsidR="00D31F73" w:rsidRDefault="00D31F73">
      <w:pPr>
        <w:rPr>
          <w:rFonts w:asciiTheme="minorHAnsi" w:hAnsiTheme="minorHAnsi"/>
          <w:sz w:val="22"/>
          <w:lang w:val="en-US"/>
        </w:rPr>
      </w:pPr>
    </w:p>
    <w:p w:rsidR="004D14A4" w:rsidRDefault="00CA5ABF">
      <w:pPr>
        <w:rPr>
          <w:rFonts w:asciiTheme="minorHAnsi" w:hAnsiTheme="minorHAnsi"/>
          <w:sz w:val="22"/>
          <w:lang w:val="en-US"/>
        </w:rPr>
      </w:pPr>
      <w:bookmarkStart w:id="5" w:name="_Toc372035096"/>
      <w:r w:rsidRPr="00CA5ABF">
        <w:rPr>
          <w:rFonts w:asciiTheme="minorHAnsi" w:hAnsiTheme="minorHAnsi"/>
          <w:sz w:val="22"/>
          <w:lang w:val="en-US"/>
        </w:rPr>
        <w:t xml:space="preserve">The activities </w:t>
      </w:r>
      <w:r>
        <w:rPr>
          <w:rFonts w:asciiTheme="minorHAnsi" w:hAnsiTheme="minorHAnsi"/>
          <w:sz w:val="22"/>
          <w:lang w:val="en-US"/>
        </w:rPr>
        <w:t xml:space="preserve">listed here are mainly various accompanying measures, not really activities directly implementing the AL policy. On the regional level, there are </w:t>
      </w:r>
      <w:r w:rsidR="004D14A4">
        <w:rPr>
          <w:rFonts w:asciiTheme="minorHAnsi" w:hAnsiTheme="minorHAnsi"/>
          <w:sz w:val="22"/>
          <w:lang w:val="en-US"/>
        </w:rPr>
        <w:t xml:space="preserve">for example </w:t>
      </w:r>
      <w:r>
        <w:rPr>
          <w:rFonts w:asciiTheme="minorHAnsi" w:hAnsiTheme="minorHAnsi"/>
          <w:sz w:val="22"/>
          <w:lang w:val="en-US"/>
        </w:rPr>
        <w:t xml:space="preserve">activities, </w:t>
      </w:r>
      <w:r w:rsidR="00342595">
        <w:rPr>
          <w:rFonts w:asciiTheme="minorHAnsi" w:hAnsiTheme="minorHAnsi"/>
          <w:sz w:val="22"/>
          <w:lang w:val="en-US"/>
        </w:rPr>
        <w:t xml:space="preserve">such as </w:t>
      </w:r>
      <w:r>
        <w:rPr>
          <w:rFonts w:asciiTheme="minorHAnsi" w:hAnsiTheme="minorHAnsi"/>
          <w:sz w:val="22"/>
          <w:lang w:val="en-US"/>
        </w:rPr>
        <w:t xml:space="preserve">training courses offered by the secondary schools which are not systematically reported or registered anywhere. </w:t>
      </w:r>
    </w:p>
    <w:p w:rsidR="004D14A4" w:rsidRDefault="004D14A4">
      <w:pPr>
        <w:rPr>
          <w:rFonts w:asciiTheme="minorHAnsi" w:hAnsiTheme="minorHAnsi"/>
          <w:sz w:val="22"/>
          <w:lang w:val="en-US"/>
        </w:rPr>
      </w:pPr>
    </w:p>
    <w:p w:rsidR="004D14A4" w:rsidRDefault="00CA5ABF">
      <w:pPr>
        <w:rPr>
          <w:rFonts w:asciiTheme="minorHAnsi" w:hAnsiTheme="minorHAnsi"/>
          <w:sz w:val="22"/>
          <w:lang w:val="en-US"/>
        </w:rPr>
      </w:pPr>
      <w:r>
        <w:rPr>
          <w:rFonts w:asciiTheme="minorHAnsi" w:hAnsiTheme="minorHAnsi"/>
          <w:sz w:val="22"/>
          <w:lang w:val="en-US"/>
        </w:rPr>
        <w:t xml:space="preserve">In the Bratislava region they are thinking of </w:t>
      </w:r>
      <w:r w:rsidR="00342595">
        <w:rPr>
          <w:rFonts w:asciiTheme="minorHAnsi" w:hAnsiTheme="minorHAnsi"/>
          <w:sz w:val="22"/>
          <w:lang w:val="en-US"/>
        </w:rPr>
        <w:t xml:space="preserve">introducing </w:t>
      </w:r>
      <w:r>
        <w:rPr>
          <w:rFonts w:asciiTheme="minorHAnsi" w:hAnsiTheme="minorHAnsi"/>
          <w:sz w:val="22"/>
          <w:lang w:val="en-US"/>
        </w:rPr>
        <w:t xml:space="preserve">a voucher system </w:t>
      </w:r>
      <w:r w:rsidR="00342595">
        <w:rPr>
          <w:rFonts w:asciiTheme="minorHAnsi" w:hAnsiTheme="minorHAnsi"/>
          <w:sz w:val="22"/>
          <w:lang w:val="en-US"/>
        </w:rPr>
        <w:t xml:space="preserve">for training </w:t>
      </w:r>
      <w:r>
        <w:rPr>
          <w:rFonts w:asciiTheme="minorHAnsi" w:hAnsiTheme="minorHAnsi"/>
          <w:sz w:val="22"/>
          <w:lang w:val="en-US"/>
        </w:rPr>
        <w:t xml:space="preserve">based on the example and experience from the Czech Republic. In the </w:t>
      </w:r>
      <w:proofErr w:type="spellStart"/>
      <w:r>
        <w:rPr>
          <w:rFonts w:asciiTheme="minorHAnsi" w:hAnsiTheme="minorHAnsi"/>
          <w:sz w:val="22"/>
          <w:lang w:val="en-US"/>
        </w:rPr>
        <w:t>Prešov</w:t>
      </w:r>
      <w:proofErr w:type="spellEnd"/>
      <w:r>
        <w:rPr>
          <w:rFonts w:asciiTheme="minorHAnsi" w:hAnsiTheme="minorHAnsi"/>
          <w:sz w:val="22"/>
          <w:lang w:val="en-US"/>
        </w:rPr>
        <w:t xml:space="preserve"> region, there are various </w:t>
      </w:r>
      <w:r w:rsidR="00342595">
        <w:rPr>
          <w:rFonts w:asciiTheme="minorHAnsi" w:hAnsiTheme="minorHAnsi"/>
          <w:sz w:val="22"/>
          <w:lang w:val="en-US"/>
        </w:rPr>
        <w:t xml:space="preserve">(international) </w:t>
      </w:r>
      <w:r>
        <w:rPr>
          <w:rFonts w:asciiTheme="minorHAnsi" w:hAnsiTheme="minorHAnsi"/>
          <w:sz w:val="22"/>
          <w:lang w:val="en-US"/>
        </w:rPr>
        <w:t xml:space="preserve">projects running that support the schools and their teaching which are promoted also by </w:t>
      </w:r>
      <w:proofErr w:type="gramStart"/>
      <w:r>
        <w:rPr>
          <w:rFonts w:asciiTheme="minorHAnsi" w:hAnsiTheme="minorHAnsi"/>
          <w:sz w:val="22"/>
          <w:lang w:val="en-US"/>
        </w:rPr>
        <w:t xml:space="preserve">the </w:t>
      </w:r>
      <w:r w:rsidR="004D14A4">
        <w:rPr>
          <w:rFonts w:asciiTheme="minorHAnsi" w:hAnsiTheme="minorHAnsi"/>
          <w:sz w:val="22"/>
          <w:lang w:val="en-US"/>
        </w:rPr>
        <w:t xml:space="preserve"> Pre</w:t>
      </w:r>
      <w:proofErr w:type="spellStart"/>
      <w:r w:rsidR="004D14A4">
        <w:rPr>
          <w:rFonts w:asciiTheme="minorHAnsi" w:hAnsiTheme="minorHAnsi"/>
          <w:sz w:val="22"/>
          <w:lang w:val="sk-SK"/>
        </w:rPr>
        <w:t>šov</w:t>
      </w:r>
      <w:r w:rsidR="00342595">
        <w:rPr>
          <w:rFonts w:asciiTheme="minorHAnsi" w:hAnsiTheme="minorHAnsi"/>
          <w:sz w:val="22"/>
          <w:lang w:val="sk-SK"/>
        </w:rPr>
        <w:t>ský</w:t>
      </w:r>
      <w:proofErr w:type="spellEnd"/>
      <w:proofErr w:type="gramEnd"/>
      <w:r w:rsidR="004D14A4">
        <w:rPr>
          <w:rFonts w:asciiTheme="minorHAnsi" w:hAnsiTheme="minorHAnsi"/>
          <w:sz w:val="22"/>
          <w:lang w:val="sk-SK"/>
        </w:rPr>
        <w:t xml:space="preserve"> </w:t>
      </w:r>
      <w:r w:rsidR="00342595">
        <w:rPr>
          <w:rFonts w:asciiTheme="minorHAnsi" w:hAnsiTheme="minorHAnsi"/>
          <w:sz w:val="22"/>
          <w:lang w:val="sk-SK"/>
        </w:rPr>
        <w:t>R</w:t>
      </w:r>
      <w:proofErr w:type="spellStart"/>
      <w:r>
        <w:rPr>
          <w:rFonts w:asciiTheme="minorHAnsi" w:hAnsiTheme="minorHAnsi"/>
          <w:sz w:val="22"/>
          <w:lang w:val="en-US"/>
        </w:rPr>
        <w:t>egion</w:t>
      </w:r>
      <w:proofErr w:type="spellEnd"/>
      <w:r>
        <w:rPr>
          <w:rFonts w:asciiTheme="minorHAnsi" w:hAnsiTheme="minorHAnsi"/>
          <w:sz w:val="22"/>
          <w:lang w:val="en-US"/>
        </w:rPr>
        <w:t xml:space="preserve"> office. </w:t>
      </w:r>
    </w:p>
    <w:p w:rsidR="004D14A4" w:rsidRDefault="004D14A4">
      <w:pPr>
        <w:rPr>
          <w:rFonts w:asciiTheme="minorHAnsi" w:hAnsiTheme="minorHAnsi"/>
          <w:sz w:val="22"/>
          <w:lang w:val="en-US"/>
        </w:rPr>
      </w:pPr>
    </w:p>
    <w:p w:rsidR="00DF69B8" w:rsidRDefault="00CA5ABF">
      <w:pPr>
        <w:rPr>
          <w:rFonts w:asciiTheme="minorHAnsi" w:hAnsiTheme="minorHAnsi"/>
          <w:sz w:val="22"/>
          <w:lang w:val="en-US"/>
        </w:rPr>
      </w:pPr>
      <w:r>
        <w:rPr>
          <w:rFonts w:asciiTheme="minorHAnsi" w:hAnsiTheme="minorHAnsi"/>
          <w:sz w:val="22"/>
          <w:lang w:val="en-US"/>
        </w:rPr>
        <w:t>On the national level, the respondents list various conferences and seminars promoting AL</w:t>
      </w:r>
      <w:r w:rsidR="000E38B0">
        <w:rPr>
          <w:rFonts w:asciiTheme="minorHAnsi" w:hAnsiTheme="minorHAnsi"/>
          <w:sz w:val="22"/>
          <w:lang w:val="en-US"/>
        </w:rPr>
        <w:t xml:space="preserve"> (in order to increase the interest</w:t>
      </w:r>
      <w:r w:rsidR="004D14A4">
        <w:rPr>
          <w:rFonts w:asciiTheme="minorHAnsi" w:hAnsiTheme="minorHAnsi"/>
          <w:sz w:val="22"/>
          <w:lang w:val="en-US"/>
        </w:rPr>
        <w:t xml:space="preserve"> of citizens in adult learning</w:t>
      </w:r>
      <w:r w:rsidR="000E38B0">
        <w:rPr>
          <w:rFonts w:asciiTheme="minorHAnsi" w:hAnsiTheme="minorHAnsi"/>
          <w:sz w:val="22"/>
          <w:lang w:val="en-US"/>
        </w:rPr>
        <w:t>)</w:t>
      </w:r>
      <w:r>
        <w:rPr>
          <w:rFonts w:asciiTheme="minorHAnsi" w:hAnsiTheme="minorHAnsi"/>
          <w:sz w:val="22"/>
          <w:lang w:val="en-US"/>
        </w:rPr>
        <w:t xml:space="preserve"> and in one instance the </w:t>
      </w:r>
      <w:r w:rsidR="00DF69B8">
        <w:rPr>
          <w:rFonts w:asciiTheme="minorHAnsi" w:hAnsiTheme="minorHAnsi"/>
          <w:sz w:val="22"/>
          <w:lang w:val="en-US"/>
        </w:rPr>
        <w:t xml:space="preserve">allocation </w:t>
      </w:r>
      <w:r>
        <w:rPr>
          <w:rFonts w:asciiTheme="minorHAnsi" w:hAnsiTheme="minorHAnsi"/>
          <w:sz w:val="22"/>
          <w:lang w:val="en-US"/>
        </w:rPr>
        <w:t>of decentralized (EACEA</w:t>
      </w:r>
      <w:r w:rsidR="000E38B0">
        <w:rPr>
          <w:rFonts w:asciiTheme="minorHAnsi" w:hAnsiTheme="minorHAnsi"/>
          <w:sz w:val="22"/>
          <w:lang w:val="en-US"/>
        </w:rPr>
        <w:t>) funds through EU wide calls for projects (ERASMUS+).</w:t>
      </w:r>
      <w:r>
        <w:rPr>
          <w:rFonts w:asciiTheme="minorHAnsi" w:hAnsiTheme="minorHAnsi"/>
          <w:sz w:val="22"/>
          <w:lang w:val="en-US"/>
        </w:rPr>
        <w:t xml:space="preserve"> </w:t>
      </w:r>
    </w:p>
    <w:p w:rsidR="00DF69B8" w:rsidRDefault="00DF69B8">
      <w:pPr>
        <w:rPr>
          <w:rFonts w:asciiTheme="minorHAnsi" w:hAnsiTheme="minorHAnsi"/>
          <w:sz w:val="22"/>
          <w:lang w:val="en-US"/>
        </w:rPr>
      </w:pPr>
    </w:p>
    <w:p w:rsidR="000E38B0" w:rsidRDefault="000E38B0">
      <w:pPr>
        <w:rPr>
          <w:rFonts w:asciiTheme="minorHAnsi" w:hAnsiTheme="minorHAnsi"/>
          <w:sz w:val="22"/>
          <w:lang w:val="en-US"/>
        </w:rPr>
      </w:pPr>
      <w:r>
        <w:rPr>
          <w:rFonts w:asciiTheme="minorHAnsi" w:hAnsiTheme="minorHAnsi"/>
          <w:sz w:val="22"/>
          <w:lang w:val="en-US"/>
        </w:rPr>
        <w:t>In general, it seems that the following are identified as problems:</w:t>
      </w:r>
    </w:p>
    <w:p w:rsidR="000E38B0" w:rsidRDefault="000E38B0" w:rsidP="000E38B0">
      <w:pPr>
        <w:pStyle w:val="Odsekzoznamu"/>
        <w:numPr>
          <w:ilvl w:val="0"/>
          <w:numId w:val="2"/>
        </w:numPr>
        <w:rPr>
          <w:rFonts w:asciiTheme="minorHAnsi" w:hAnsiTheme="minorHAnsi"/>
          <w:sz w:val="22"/>
          <w:lang w:val="en-US"/>
        </w:rPr>
      </w:pPr>
      <w:r>
        <w:rPr>
          <w:rFonts w:asciiTheme="minorHAnsi" w:hAnsiTheme="minorHAnsi"/>
          <w:sz w:val="22"/>
          <w:lang w:val="en-US"/>
        </w:rPr>
        <w:t>Lack of interest in AL / further education</w:t>
      </w:r>
      <w:r w:rsidR="00234200">
        <w:rPr>
          <w:rFonts w:asciiTheme="minorHAnsi" w:hAnsiTheme="minorHAnsi"/>
          <w:sz w:val="22"/>
          <w:lang w:val="en-US"/>
        </w:rPr>
        <w:t xml:space="preserve"> from the side of citizens in general </w:t>
      </w:r>
    </w:p>
    <w:p w:rsidR="000E38B0" w:rsidRDefault="000E38B0" w:rsidP="000E38B0">
      <w:pPr>
        <w:pStyle w:val="Odsekzoznamu"/>
        <w:numPr>
          <w:ilvl w:val="0"/>
          <w:numId w:val="2"/>
        </w:numPr>
        <w:rPr>
          <w:rFonts w:asciiTheme="minorHAnsi" w:hAnsiTheme="minorHAnsi"/>
          <w:sz w:val="22"/>
          <w:lang w:val="en-US"/>
        </w:rPr>
      </w:pPr>
      <w:r>
        <w:rPr>
          <w:rFonts w:asciiTheme="minorHAnsi" w:hAnsiTheme="minorHAnsi"/>
          <w:sz w:val="22"/>
          <w:lang w:val="en-US"/>
        </w:rPr>
        <w:t>Lack of funds to finance AL actions</w:t>
      </w:r>
      <w:r w:rsidR="00307B2D">
        <w:rPr>
          <w:rFonts w:asciiTheme="minorHAnsi" w:hAnsiTheme="minorHAnsi"/>
          <w:sz w:val="22"/>
          <w:lang w:val="en-US"/>
        </w:rPr>
        <w:t xml:space="preserve"> (covering not only professional training activities related to employability but also activities for personal growth)</w:t>
      </w:r>
    </w:p>
    <w:p w:rsidR="000E38B0" w:rsidRDefault="000E38B0" w:rsidP="000E38B0">
      <w:pPr>
        <w:pStyle w:val="Odsekzoznamu"/>
        <w:numPr>
          <w:ilvl w:val="0"/>
          <w:numId w:val="2"/>
        </w:numPr>
        <w:rPr>
          <w:rFonts w:asciiTheme="minorHAnsi" w:hAnsiTheme="minorHAnsi"/>
          <w:sz w:val="22"/>
          <w:lang w:val="en-US"/>
        </w:rPr>
      </w:pPr>
      <w:r>
        <w:rPr>
          <w:rFonts w:asciiTheme="minorHAnsi" w:hAnsiTheme="minorHAnsi"/>
          <w:sz w:val="22"/>
          <w:lang w:val="en-US"/>
        </w:rPr>
        <w:t>Lack of training offer</w:t>
      </w:r>
      <w:r w:rsidR="00F65994">
        <w:rPr>
          <w:rFonts w:asciiTheme="minorHAnsi" w:hAnsiTheme="minorHAnsi"/>
          <w:sz w:val="22"/>
          <w:lang w:val="en-US"/>
        </w:rPr>
        <w:t xml:space="preserve">ed in </w:t>
      </w:r>
      <w:r>
        <w:rPr>
          <w:rFonts w:asciiTheme="minorHAnsi" w:hAnsiTheme="minorHAnsi"/>
          <w:sz w:val="22"/>
          <w:lang w:val="en-US"/>
        </w:rPr>
        <w:t>reacti</w:t>
      </w:r>
      <w:r w:rsidR="00F65994">
        <w:rPr>
          <w:rFonts w:asciiTheme="minorHAnsi" w:hAnsiTheme="minorHAnsi"/>
          <w:sz w:val="22"/>
          <w:lang w:val="en-US"/>
        </w:rPr>
        <w:t>on</w:t>
      </w:r>
      <w:r>
        <w:rPr>
          <w:rFonts w:asciiTheme="minorHAnsi" w:hAnsiTheme="minorHAnsi"/>
          <w:sz w:val="22"/>
          <w:lang w:val="en-US"/>
        </w:rPr>
        <w:t xml:space="preserve"> to the needs of the </w:t>
      </w:r>
      <w:proofErr w:type="spellStart"/>
      <w:r>
        <w:rPr>
          <w:rFonts w:asciiTheme="minorHAnsi" w:hAnsiTheme="minorHAnsi"/>
          <w:sz w:val="22"/>
          <w:lang w:val="en-US"/>
        </w:rPr>
        <w:t>labour</w:t>
      </w:r>
      <w:proofErr w:type="spellEnd"/>
      <w:r>
        <w:rPr>
          <w:rFonts w:asciiTheme="minorHAnsi" w:hAnsiTheme="minorHAnsi"/>
          <w:sz w:val="22"/>
          <w:lang w:val="en-US"/>
        </w:rPr>
        <w:t xml:space="preserve"> market  </w:t>
      </w:r>
    </w:p>
    <w:p w:rsidR="000E38B0" w:rsidRDefault="000E38B0" w:rsidP="000E38B0">
      <w:pPr>
        <w:pStyle w:val="Odsekzoznamu"/>
        <w:numPr>
          <w:ilvl w:val="0"/>
          <w:numId w:val="2"/>
        </w:numPr>
        <w:rPr>
          <w:rFonts w:asciiTheme="minorHAnsi" w:hAnsiTheme="minorHAnsi"/>
          <w:sz w:val="22"/>
          <w:lang w:val="en-US"/>
        </w:rPr>
      </w:pPr>
      <w:r>
        <w:rPr>
          <w:rFonts w:asciiTheme="minorHAnsi" w:hAnsiTheme="minorHAnsi"/>
          <w:sz w:val="22"/>
          <w:lang w:val="en-US"/>
        </w:rPr>
        <w:t>No system of recognition of results of non-formal training</w:t>
      </w:r>
    </w:p>
    <w:p w:rsidR="00F65994" w:rsidRDefault="00F65994" w:rsidP="000E38B0">
      <w:pPr>
        <w:pStyle w:val="Odsekzoznamu"/>
        <w:numPr>
          <w:ilvl w:val="0"/>
          <w:numId w:val="2"/>
        </w:numPr>
        <w:rPr>
          <w:rFonts w:asciiTheme="minorHAnsi" w:hAnsiTheme="minorHAnsi"/>
          <w:sz w:val="22"/>
          <w:lang w:val="en-US"/>
        </w:rPr>
      </w:pPr>
      <w:r>
        <w:rPr>
          <w:rFonts w:asciiTheme="minorHAnsi" w:hAnsiTheme="minorHAnsi"/>
          <w:sz w:val="22"/>
          <w:lang w:val="en-US"/>
        </w:rPr>
        <w:t>No system of recognition of trainers´ knowledge/skills obtained through practice, non-formal or informal training</w:t>
      </w:r>
    </w:p>
    <w:p w:rsidR="000E38B0" w:rsidRDefault="000E38B0" w:rsidP="000E38B0">
      <w:pPr>
        <w:pStyle w:val="Odsekzoznamu"/>
        <w:numPr>
          <w:ilvl w:val="0"/>
          <w:numId w:val="2"/>
        </w:numPr>
        <w:rPr>
          <w:rFonts w:asciiTheme="minorHAnsi" w:hAnsiTheme="minorHAnsi"/>
          <w:sz w:val="22"/>
          <w:lang w:val="en-US"/>
        </w:rPr>
      </w:pPr>
      <w:r>
        <w:rPr>
          <w:rFonts w:asciiTheme="minorHAnsi" w:hAnsiTheme="minorHAnsi"/>
          <w:sz w:val="22"/>
          <w:lang w:val="en-US"/>
        </w:rPr>
        <w:t xml:space="preserve">AL not sufficiently defined and </w:t>
      </w:r>
      <w:proofErr w:type="spellStart"/>
      <w:r>
        <w:rPr>
          <w:rFonts w:asciiTheme="minorHAnsi" w:hAnsiTheme="minorHAnsi"/>
          <w:sz w:val="22"/>
          <w:lang w:val="en-US"/>
        </w:rPr>
        <w:t>recognised</w:t>
      </w:r>
      <w:proofErr w:type="spellEnd"/>
      <w:r>
        <w:rPr>
          <w:rFonts w:asciiTheme="minorHAnsi" w:hAnsiTheme="minorHAnsi"/>
          <w:sz w:val="22"/>
          <w:lang w:val="en-US"/>
        </w:rPr>
        <w:t xml:space="preserve"> as a stand-alone policy by the Ministry of Education</w:t>
      </w:r>
    </w:p>
    <w:p w:rsidR="00307B2D" w:rsidRDefault="000E38B0" w:rsidP="000E38B0">
      <w:pPr>
        <w:pStyle w:val="Odsekzoznamu"/>
        <w:numPr>
          <w:ilvl w:val="0"/>
          <w:numId w:val="2"/>
        </w:numPr>
        <w:rPr>
          <w:rFonts w:asciiTheme="minorHAnsi" w:hAnsiTheme="minorHAnsi"/>
          <w:sz w:val="22"/>
          <w:lang w:val="en-US"/>
        </w:rPr>
      </w:pPr>
      <w:r>
        <w:rPr>
          <w:rFonts w:asciiTheme="minorHAnsi" w:hAnsiTheme="minorHAnsi"/>
          <w:sz w:val="22"/>
          <w:lang w:val="en-US"/>
        </w:rPr>
        <w:t>Low level of cooperation between state regulatory agencies and private providers of training for adults</w:t>
      </w:r>
    </w:p>
    <w:p w:rsidR="00307B2D" w:rsidRDefault="00307B2D" w:rsidP="00307B2D">
      <w:pPr>
        <w:rPr>
          <w:rFonts w:asciiTheme="minorHAnsi" w:hAnsiTheme="minorHAnsi"/>
          <w:sz w:val="22"/>
          <w:lang w:val="en-US"/>
        </w:rPr>
      </w:pPr>
    </w:p>
    <w:p w:rsidR="00F65994" w:rsidRPr="00841839" w:rsidRDefault="00F65994" w:rsidP="00F65994">
      <w:pPr>
        <w:rPr>
          <w:lang w:val="en-US"/>
        </w:rPr>
      </w:pPr>
      <w:r>
        <w:rPr>
          <w:rFonts w:ascii="Calibri" w:hAnsi="Calibri" w:cs="Tahoma"/>
          <w:bCs/>
          <w:sz w:val="22"/>
          <w:szCs w:val="22"/>
          <w:lang w:val="en-GB"/>
        </w:rPr>
        <w:t xml:space="preserve">On the national level, there </w:t>
      </w:r>
      <w:r w:rsidR="00342595">
        <w:rPr>
          <w:rFonts w:ascii="Calibri" w:hAnsi="Calibri" w:cs="Tahoma"/>
          <w:bCs/>
          <w:sz w:val="22"/>
          <w:szCs w:val="22"/>
          <w:lang w:val="en-GB"/>
        </w:rPr>
        <w:t xml:space="preserve">are a few national projects implemented that are relevant for the AL area. </w:t>
      </w:r>
      <w:r w:rsidR="00742530">
        <w:rPr>
          <w:rFonts w:ascii="Calibri" w:hAnsi="Calibri" w:cs="Tahoma"/>
          <w:bCs/>
          <w:sz w:val="22"/>
          <w:szCs w:val="22"/>
          <w:lang w:val="en-GB"/>
        </w:rPr>
        <w:t xml:space="preserve">One deals with the National System of Qualifications, another with the National System of Professions. They should provide tools for better </w:t>
      </w:r>
      <w:proofErr w:type="spellStart"/>
      <w:r w:rsidR="00742530">
        <w:rPr>
          <w:rFonts w:ascii="Calibri" w:hAnsi="Calibri" w:cs="Tahoma"/>
          <w:bCs/>
          <w:sz w:val="22"/>
          <w:szCs w:val="22"/>
          <w:lang w:val="en-GB"/>
        </w:rPr>
        <w:t>prognosing</w:t>
      </w:r>
      <w:proofErr w:type="spellEnd"/>
      <w:r w:rsidR="00742530">
        <w:rPr>
          <w:rFonts w:ascii="Calibri" w:hAnsi="Calibri" w:cs="Tahoma"/>
          <w:bCs/>
          <w:sz w:val="22"/>
          <w:szCs w:val="22"/>
          <w:lang w:val="en-GB"/>
        </w:rPr>
        <w:t xml:space="preserve"> of training needs. The </w:t>
      </w:r>
      <w:r>
        <w:rPr>
          <w:rFonts w:ascii="Calibri" w:hAnsi="Calibri" w:cs="Tahoma"/>
          <w:bCs/>
          <w:sz w:val="22"/>
          <w:szCs w:val="22"/>
          <w:lang w:val="en-GB"/>
        </w:rPr>
        <w:t xml:space="preserve">National Lifelong Learning Institute </w:t>
      </w:r>
      <w:r w:rsidR="00742530">
        <w:rPr>
          <w:rFonts w:ascii="Calibri" w:hAnsi="Calibri" w:cs="Tahoma"/>
          <w:bCs/>
          <w:sz w:val="22"/>
          <w:szCs w:val="22"/>
          <w:lang w:val="en-GB"/>
        </w:rPr>
        <w:t xml:space="preserve">is implementing a project </w:t>
      </w:r>
      <w:r>
        <w:rPr>
          <w:rFonts w:ascii="Calibri" w:hAnsi="Calibri" w:cs="Tahoma"/>
          <w:bCs/>
          <w:sz w:val="22"/>
          <w:szCs w:val="22"/>
          <w:lang w:val="en-GB"/>
        </w:rPr>
        <w:t xml:space="preserve">titled </w:t>
      </w:r>
      <w:r w:rsidRPr="00841839">
        <w:rPr>
          <w:rFonts w:ascii="Calibri" w:hAnsi="Calibri" w:cs="Tahoma"/>
          <w:i/>
          <w:sz w:val="22"/>
          <w:szCs w:val="22"/>
          <w:lang w:val="en-GB"/>
        </w:rPr>
        <w:t>Further Education and Guidance for Adults as a Tool of Better Employability</w:t>
      </w:r>
      <w:hyperlink r:id="rId9" w:history="1"/>
      <w:r w:rsidRPr="00841839">
        <w:rPr>
          <w:rFonts w:ascii="Calibri" w:hAnsi="Calibri" w:cs="Tahoma"/>
          <w:i/>
          <w:sz w:val="22"/>
          <w:szCs w:val="22"/>
          <w:lang w:val="en-GB"/>
        </w:rPr>
        <w:t xml:space="preserve"> on the Labour </w:t>
      </w:r>
      <w:proofErr w:type="spellStart"/>
      <w:r w:rsidRPr="00841839">
        <w:rPr>
          <w:rFonts w:ascii="Calibri" w:hAnsi="Calibri" w:cs="Tahoma"/>
          <w:i/>
          <w:sz w:val="22"/>
          <w:szCs w:val="22"/>
          <w:lang w:val="en-GB"/>
        </w:rPr>
        <w:t>Market</w:t>
      </w:r>
      <w:r>
        <w:rPr>
          <w:rFonts w:ascii="Calibri" w:hAnsi="Calibri" w:cs="Tahoma"/>
          <w:i/>
          <w:sz w:val="22"/>
          <w:szCs w:val="22"/>
          <w:lang w:val="en-GB"/>
        </w:rPr>
        <w:t>.</w:t>
      </w:r>
      <w:r>
        <w:rPr>
          <w:rFonts w:ascii="Calibri" w:hAnsi="Calibri" w:cs="Tahoma"/>
          <w:sz w:val="22"/>
          <w:szCs w:val="22"/>
          <w:lang w:val="en-GB"/>
        </w:rPr>
        <w:t>The</w:t>
      </w:r>
      <w:proofErr w:type="spellEnd"/>
      <w:r>
        <w:rPr>
          <w:rFonts w:ascii="Calibri" w:hAnsi="Calibri" w:cs="Tahoma"/>
          <w:sz w:val="22"/>
          <w:szCs w:val="22"/>
          <w:lang w:val="en-GB"/>
        </w:rPr>
        <w:t xml:space="preserve"> project designed a number of training programmes for obtain</w:t>
      </w:r>
      <w:r w:rsidR="00342595">
        <w:rPr>
          <w:rFonts w:ascii="Calibri" w:hAnsi="Calibri" w:cs="Tahoma"/>
          <w:sz w:val="22"/>
          <w:szCs w:val="22"/>
          <w:lang w:val="en-GB"/>
        </w:rPr>
        <w:t>ing of</w:t>
      </w:r>
      <w:r>
        <w:rPr>
          <w:rFonts w:ascii="Calibri" w:hAnsi="Calibri" w:cs="Tahoma"/>
          <w:sz w:val="22"/>
          <w:szCs w:val="22"/>
          <w:lang w:val="en-GB"/>
        </w:rPr>
        <w:t xml:space="preserve"> certain qualification</w:t>
      </w:r>
      <w:r w:rsidR="00342595">
        <w:rPr>
          <w:rFonts w:ascii="Calibri" w:hAnsi="Calibri" w:cs="Tahoma"/>
          <w:sz w:val="22"/>
          <w:szCs w:val="22"/>
          <w:lang w:val="en-GB"/>
        </w:rPr>
        <w:t>s</w:t>
      </w:r>
      <w:r>
        <w:rPr>
          <w:rFonts w:ascii="Calibri" w:hAnsi="Calibri" w:cs="Tahoma"/>
          <w:sz w:val="22"/>
          <w:szCs w:val="22"/>
          <w:lang w:val="en-GB"/>
        </w:rPr>
        <w:t xml:space="preserve"> identified as missing on the labour market, courses for trainers and set up guidance centres providing career advice. The project was criticised for not </w:t>
      </w:r>
      <w:r w:rsidR="00342595">
        <w:rPr>
          <w:rFonts w:ascii="Calibri" w:hAnsi="Calibri" w:cs="Tahoma"/>
          <w:sz w:val="22"/>
          <w:szCs w:val="22"/>
          <w:lang w:val="en-GB"/>
        </w:rPr>
        <w:t>building</w:t>
      </w:r>
      <w:r>
        <w:rPr>
          <w:rFonts w:ascii="Calibri" w:hAnsi="Calibri" w:cs="Tahoma"/>
          <w:sz w:val="22"/>
          <w:szCs w:val="22"/>
          <w:lang w:val="en-GB"/>
        </w:rPr>
        <w:t xml:space="preserve"> upon what already exists, not cooperating with private providers and creating new structures that have questionable future after the project is finished.</w:t>
      </w:r>
    </w:p>
    <w:p w:rsidR="005636AE" w:rsidRPr="00307B2D" w:rsidRDefault="005636AE" w:rsidP="00307B2D">
      <w:pPr>
        <w:rPr>
          <w:rFonts w:asciiTheme="minorHAnsi" w:hAnsiTheme="minorHAnsi"/>
          <w:sz w:val="22"/>
          <w:lang w:val="en-US"/>
        </w:rPr>
      </w:pPr>
      <w:r w:rsidRPr="00307B2D">
        <w:rPr>
          <w:rFonts w:asciiTheme="minorHAnsi" w:hAnsiTheme="minorHAnsi"/>
          <w:sz w:val="22"/>
          <w:lang w:val="en-US"/>
        </w:rPr>
        <w:br w:type="page"/>
      </w:r>
    </w:p>
    <w:p w:rsidR="00D31F73" w:rsidRDefault="00D31F73" w:rsidP="00D31F73">
      <w:pPr>
        <w:pStyle w:val="Nadpis2"/>
      </w:pPr>
      <w:r>
        <w:lastRenderedPageBreak/>
        <w:t>AL Funding</w:t>
      </w:r>
      <w:bookmarkEnd w:id="5"/>
    </w:p>
    <w:p w:rsidR="00D31F73" w:rsidRDefault="00D31F73" w:rsidP="00D31F73">
      <w:pPr>
        <w:rPr>
          <w:rFonts w:asciiTheme="minorHAnsi" w:hAnsiTheme="minorHAnsi"/>
          <w:sz w:val="22"/>
          <w:lang w:val="en-US"/>
        </w:rPr>
      </w:pPr>
    </w:p>
    <w:p w:rsidR="00D31F73" w:rsidRDefault="009C1F7B">
      <w:pPr>
        <w:rPr>
          <w:rFonts w:asciiTheme="minorHAnsi" w:hAnsiTheme="minorHAnsi"/>
          <w:sz w:val="22"/>
          <w:lang w:val="en-US"/>
        </w:rPr>
      </w:pPr>
      <w:r>
        <w:rPr>
          <w:rFonts w:asciiTheme="minorHAnsi" w:hAnsiTheme="minorHAnsi"/>
          <w:sz w:val="22"/>
          <w:lang w:val="en-US"/>
        </w:rPr>
        <w:t>As the main source of public funding</w:t>
      </w:r>
      <w:r w:rsidR="00EC6933">
        <w:rPr>
          <w:rFonts w:asciiTheme="minorHAnsi" w:hAnsiTheme="minorHAnsi"/>
          <w:sz w:val="22"/>
          <w:lang w:val="en-US"/>
        </w:rPr>
        <w:t xml:space="preserve">, </w:t>
      </w:r>
      <w:r>
        <w:rPr>
          <w:rFonts w:asciiTheme="minorHAnsi" w:hAnsiTheme="minorHAnsi"/>
          <w:sz w:val="22"/>
          <w:lang w:val="en-US"/>
        </w:rPr>
        <w:t xml:space="preserve">all respondents identified </w:t>
      </w:r>
      <w:r w:rsidR="00EC6933">
        <w:rPr>
          <w:rFonts w:asciiTheme="minorHAnsi" w:hAnsiTheme="minorHAnsi"/>
          <w:sz w:val="22"/>
          <w:lang w:val="en-US"/>
        </w:rPr>
        <w:t xml:space="preserve">the </w:t>
      </w:r>
      <w:r>
        <w:rPr>
          <w:rFonts w:asciiTheme="minorHAnsi" w:hAnsiTheme="minorHAnsi"/>
          <w:sz w:val="22"/>
          <w:lang w:val="en-US"/>
        </w:rPr>
        <w:t>EU funds, in cases of national leve</w:t>
      </w:r>
      <w:r w:rsidR="00D81837">
        <w:rPr>
          <w:rFonts w:asciiTheme="minorHAnsi" w:hAnsiTheme="minorHAnsi"/>
          <w:sz w:val="22"/>
          <w:lang w:val="en-US"/>
        </w:rPr>
        <w:t>l</w:t>
      </w:r>
      <w:r>
        <w:rPr>
          <w:rFonts w:asciiTheme="minorHAnsi" w:hAnsiTheme="minorHAnsi"/>
          <w:sz w:val="22"/>
          <w:lang w:val="en-US"/>
        </w:rPr>
        <w:t xml:space="preserve"> it was 100% of funding, on the regional level also national and regional funds were </w:t>
      </w:r>
      <w:r w:rsidR="00742530">
        <w:rPr>
          <w:rFonts w:asciiTheme="minorHAnsi" w:hAnsiTheme="minorHAnsi"/>
          <w:sz w:val="22"/>
          <w:lang w:val="en-US"/>
        </w:rPr>
        <w:t>mentioned.</w:t>
      </w:r>
      <w:r>
        <w:rPr>
          <w:rFonts w:asciiTheme="minorHAnsi" w:hAnsiTheme="minorHAnsi"/>
          <w:sz w:val="22"/>
          <w:lang w:val="en-US"/>
        </w:rPr>
        <w:t xml:space="preserve"> In one case of a national agency, also employers were mentioned. All respondents report that they work with the EU funds according to EU/nation-wide rules, on the project basis. PPPs are not used in financing schemes as it is not a usual practice and no rules/guidelines are set.</w:t>
      </w:r>
    </w:p>
    <w:p w:rsidR="00C51155" w:rsidRDefault="00C51155">
      <w:pPr>
        <w:rPr>
          <w:rFonts w:asciiTheme="minorHAnsi" w:hAnsiTheme="minorHAnsi"/>
          <w:sz w:val="22"/>
          <w:lang w:val="en-US"/>
        </w:rPr>
      </w:pPr>
    </w:p>
    <w:p w:rsidR="00C51155" w:rsidRDefault="00C51155">
      <w:pPr>
        <w:rPr>
          <w:rFonts w:asciiTheme="minorHAnsi" w:hAnsiTheme="minorHAnsi"/>
          <w:sz w:val="22"/>
          <w:lang w:val="en-US"/>
        </w:rPr>
      </w:pPr>
      <w:r>
        <w:rPr>
          <w:rFonts w:asciiTheme="minorHAnsi" w:hAnsiTheme="minorHAnsi"/>
          <w:sz w:val="22"/>
          <w:lang w:val="en-US"/>
        </w:rPr>
        <w:t>Insufficient funding and the absence of a</w:t>
      </w:r>
      <w:r w:rsidR="00922EBF">
        <w:rPr>
          <w:rFonts w:asciiTheme="minorHAnsi" w:hAnsiTheme="minorHAnsi"/>
          <w:sz w:val="22"/>
          <w:lang w:val="en-US"/>
        </w:rPr>
        <w:t>n AL</w:t>
      </w:r>
      <w:r>
        <w:rPr>
          <w:rFonts w:asciiTheme="minorHAnsi" w:hAnsiTheme="minorHAnsi"/>
          <w:sz w:val="22"/>
          <w:lang w:val="en-US"/>
        </w:rPr>
        <w:t xml:space="preserve"> financing system ha</w:t>
      </w:r>
      <w:r w:rsidR="00EC6933">
        <w:rPr>
          <w:rFonts w:asciiTheme="minorHAnsi" w:hAnsiTheme="minorHAnsi"/>
          <w:sz w:val="22"/>
          <w:lang w:val="en-US"/>
        </w:rPr>
        <w:t>ve</w:t>
      </w:r>
      <w:r>
        <w:rPr>
          <w:rFonts w:asciiTheme="minorHAnsi" w:hAnsiTheme="minorHAnsi"/>
          <w:sz w:val="22"/>
          <w:lang w:val="en-US"/>
        </w:rPr>
        <w:t xml:space="preserve"> been mentioned by several respondents. One respondent (national level) suggested that since the formal education is free of charge in SK, also the adult education should be free. </w:t>
      </w:r>
      <w:r w:rsidR="00EC6933">
        <w:rPr>
          <w:rFonts w:asciiTheme="minorHAnsi" w:hAnsiTheme="minorHAnsi"/>
          <w:sz w:val="22"/>
          <w:lang w:val="en-US"/>
        </w:rPr>
        <w:t xml:space="preserve">Other </w:t>
      </w:r>
      <w:r>
        <w:rPr>
          <w:rFonts w:asciiTheme="minorHAnsi" w:hAnsiTheme="minorHAnsi"/>
          <w:sz w:val="22"/>
          <w:lang w:val="en-US"/>
        </w:rPr>
        <w:t xml:space="preserve">respondent mentioned that there are discussions on introducing a rule in the </w:t>
      </w:r>
      <w:proofErr w:type="spellStart"/>
      <w:r>
        <w:rPr>
          <w:rFonts w:asciiTheme="minorHAnsi" w:hAnsiTheme="minorHAnsi"/>
          <w:sz w:val="22"/>
          <w:lang w:val="en-US"/>
        </w:rPr>
        <w:t>Labour</w:t>
      </w:r>
      <w:proofErr w:type="spellEnd"/>
      <w:r>
        <w:rPr>
          <w:rFonts w:asciiTheme="minorHAnsi" w:hAnsiTheme="minorHAnsi"/>
          <w:sz w:val="22"/>
          <w:lang w:val="en-US"/>
        </w:rPr>
        <w:t xml:space="preserve"> Code requesting the employers to provide for employee education (</w:t>
      </w:r>
      <w:proofErr w:type="spellStart"/>
      <w:r>
        <w:rPr>
          <w:rFonts w:asciiTheme="minorHAnsi" w:hAnsiTheme="minorHAnsi"/>
          <w:sz w:val="22"/>
          <w:lang w:val="en-US"/>
        </w:rPr>
        <w:t>eg</w:t>
      </w:r>
      <w:proofErr w:type="spellEnd"/>
      <w:r>
        <w:rPr>
          <w:rFonts w:asciiTheme="minorHAnsi" w:hAnsiTheme="minorHAnsi"/>
          <w:sz w:val="22"/>
          <w:lang w:val="en-US"/>
        </w:rPr>
        <w:t xml:space="preserve"> set a number of days that should be spent on training) and urge them to pursue AL courses. The financing </w:t>
      </w:r>
      <w:r w:rsidR="00922EBF">
        <w:rPr>
          <w:rFonts w:asciiTheme="minorHAnsi" w:hAnsiTheme="minorHAnsi"/>
          <w:sz w:val="22"/>
          <w:lang w:val="en-US"/>
        </w:rPr>
        <w:t xml:space="preserve">could </w:t>
      </w:r>
      <w:r>
        <w:rPr>
          <w:rFonts w:asciiTheme="minorHAnsi" w:hAnsiTheme="minorHAnsi"/>
          <w:sz w:val="22"/>
          <w:lang w:val="en-US"/>
        </w:rPr>
        <w:t xml:space="preserve">be </w:t>
      </w:r>
      <w:r w:rsidR="00922EBF">
        <w:rPr>
          <w:rFonts w:asciiTheme="minorHAnsi" w:hAnsiTheme="minorHAnsi"/>
          <w:sz w:val="22"/>
          <w:lang w:val="en-US"/>
        </w:rPr>
        <w:t>secured</w:t>
      </w:r>
      <w:r>
        <w:rPr>
          <w:rFonts w:asciiTheme="minorHAnsi" w:hAnsiTheme="minorHAnsi"/>
          <w:sz w:val="22"/>
          <w:lang w:val="en-US"/>
        </w:rPr>
        <w:t xml:space="preserve"> through setting up an Education Fund to which a certain percentage of the employee salary would be allocated.</w:t>
      </w:r>
    </w:p>
    <w:p w:rsidR="00C51155" w:rsidRDefault="00C51155">
      <w:bookmarkStart w:id="6" w:name="_Toc372035097"/>
    </w:p>
    <w:p w:rsidR="00C51155" w:rsidRDefault="00C51155" w:rsidP="00D31F73">
      <w:pPr>
        <w:pStyle w:val="Nadpis2"/>
      </w:pPr>
    </w:p>
    <w:p w:rsidR="00EC6933" w:rsidRDefault="00EC6933">
      <w:pPr>
        <w:rPr>
          <w:rFonts w:asciiTheme="minorHAnsi" w:eastAsiaTheme="majorEastAsia" w:hAnsiTheme="minorHAnsi" w:cstheme="majorBidi"/>
          <w:b/>
          <w:bCs/>
          <w:iCs/>
          <w:color w:val="1F497D" w:themeColor="text2"/>
          <w:sz w:val="22"/>
          <w:szCs w:val="22"/>
          <w:lang w:val="en-US"/>
        </w:rPr>
      </w:pPr>
      <w:r>
        <w:br w:type="page"/>
      </w:r>
    </w:p>
    <w:p w:rsidR="00D31F73" w:rsidRDefault="00D31F73" w:rsidP="00D31F73">
      <w:pPr>
        <w:pStyle w:val="Nadpis2"/>
      </w:pPr>
      <w:r>
        <w:lastRenderedPageBreak/>
        <w:t>Key findings</w:t>
      </w:r>
      <w:bookmarkEnd w:id="6"/>
    </w:p>
    <w:p w:rsidR="00D31F73" w:rsidRDefault="00D31F73">
      <w:pPr>
        <w:rPr>
          <w:rFonts w:asciiTheme="minorHAnsi" w:hAnsiTheme="minorHAnsi"/>
          <w:sz w:val="22"/>
          <w:lang w:val="en-US"/>
        </w:rPr>
      </w:pPr>
    </w:p>
    <w:p w:rsidR="00D31F73" w:rsidRDefault="009C1F7B">
      <w:pPr>
        <w:rPr>
          <w:rFonts w:asciiTheme="minorHAnsi" w:hAnsiTheme="minorHAnsi"/>
          <w:sz w:val="22"/>
          <w:lang w:val="en-US"/>
        </w:rPr>
      </w:pPr>
      <w:r>
        <w:rPr>
          <w:rFonts w:asciiTheme="minorHAnsi" w:hAnsiTheme="minorHAnsi"/>
          <w:sz w:val="22"/>
          <w:lang w:val="en-US"/>
        </w:rPr>
        <w:t xml:space="preserve">There is a Strategy of Lifelong </w:t>
      </w:r>
      <w:r w:rsidR="00EA4EBD">
        <w:rPr>
          <w:rFonts w:asciiTheme="minorHAnsi" w:hAnsiTheme="minorHAnsi"/>
          <w:sz w:val="22"/>
          <w:lang w:val="en-US"/>
        </w:rPr>
        <w:t>L</w:t>
      </w:r>
      <w:r>
        <w:rPr>
          <w:rFonts w:asciiTheme="minorHAnsi" w:hAnsiTheme="minorHAnsi"/>
          <w:sz w:val="22"/>
          <w:lang w:val="en-US"/>
        </w:rPr>
        <w:t>earning (or</w:t>
      </w:r>
      <w:r w:rsidR="00EC6933">
        <w:rPr>
          <w:rFonts w:asciiTheme="minorHAnsi" w:hAnsiTheme="minorHAnsi"/>
          <w:sz w:val="22"/>
          <w:lang w:val="en-US"/>
        </w:rPr>
        <w:t>iginated in 2007, updated in 2011</w:t>
      </w:r>
      <w:r>
        <w:rPr>
          <w:rFonts w:asciiTheme="minorHAnsi" w:hAnsiTheme="minorHAnsi"/>
          <w:sz w:val="22"/>
          <w:lang w:val="en-US"/>
        </w:rPr>
        <w:t>) with an Action Plan from 2011. However it is not used as a tool for implementing the actions</w:t>
      </w:r>
      <w:r w:rsidR="00EA4EBD">
        <w:rPr>
          <w:rFonts w:asciiTheme="minorHAnsi" w:hAnsiTheme="minorHAnsi"/>
          <w:sz w:val="22"/>
          <w:lang w:val="en-US"/>
        </w:rPr>
        <w:t xml:space="preserve"> and it seems </w:t>
      </w:r>
      <w:r w:rsidR="008A6848">
        <w:rPr>
          <w:rFonts w:asciiTheme="minorHAnsi" w:hAnsiTheme="minorHAnsi"/>
          <w:sz w:val="22"/>
          <w:lang w:val="en-US"/>
        </w:rPr>
        <w:t xml:space="preserve">that </w:t>
      </w:r>
      <w:r w:rsidR="00EA4EBD">
        <w:rPr>
          <w:rFonts w:asciiTheme="minorHAnsi" w:hAnsiTheme="minorHAnsi"/>
          <w:sz w:val="22"/>
          <w:lang w:val="en-US"/>
        </w:rPr>
        <w:t xml:space="preserve">no monitoring </w:t>
      </w:r>
      <w:r w:rsidR="008A6848">
        <w:rPr>
          <w:rFonts w:asciiTheme="minorHAnsi" w:hAnsiTheme="minorHAnsi"/>
          <w:sz w:val="22"/>
          <w:lang w:val="en-US"/>
        </w:rPr>
        <w:t xml:space="preserve">on progress </w:t>
      </w:r>
      <w:r w:rsidR="00EA4EBD">
        <w:rPr>
          <w:rFonts w:asciiTheme="minorHAnsi" w:hAnsiTheme="minorHAnsi"/>
          <w:sz w:val="22"/>
          <w:lang w:val="en-US"/>
        </w:rPr>
        <w:t>is done</w:t>
      </w:r>
      <w:r w:rsidR="008A6848">
        <w:rPr>
          <w:rFonts w:asciiTheme="minorHAnsi" w:hAnsiTheme="minorHAnsi"/>
          <w:sz w:val="22"/>
          <w:lang w:val="en-US"/>
        </w:rPr>
        <w:t xml:space="preserve"> at the moment.</w:t>
      </w:r>
      <w:r w:rsidR="00EA4EBD">
        <w:rPr>
          <w:rFonts w:asciiTheme="minorHAnsi" w:hAnsiTheme="minorHAnsi"/>
          <w:sz w:val="22"/>
          <w:lang w:val="en-US"/>
        </w:rPr>
        <w:t xml:space="preserve"> There </w:t>
      </w:r>
      <w:proofErr w:type="gramStart"/>
      <w:r w:rsidR="00EA4EBD">
        <w:rPr>
          <w:rFonts w:asciiTheme="minorHAnsi" w:hAnsiTheme="minorHAnsi"/>
          <w:sz w:val="22"/>
          <w:lang w:val="en-US"/>
        </w:rPr>
        <w:t>are</w:t>
      </w:r>
      <w:proofErr w:type="gramEnd"/>
      <w:r w:rsidR="00EA4EBD">
        <w:rPr>
          <w:rFonts w:asciiTheme="minorHAnsi" w:hAnsiTheme="minorHAnsi"/>
          <w:sz w:val="22"/>
          <w:lang w:val="en-US"/>
        </w:rPr>
        <w:t xml:space="preserve"> </w:t>
      </w:r>
      <w:r w:rsidR="00922EBF">
        <w:rPr>
          <w:rFonts w:asciiTheme="minorHAnsi" w:hAnsiTheme="minorHAnsi"/>
          <w:sz w:val="22"/>
          <w:lang w:val="en-US"/>
        </w:rPr>
        <w:t xml:space="preserve">however </w:t>
      </w:r>
      <w:r w:rsidR="00EA4EBD">
        <w:rPr>
          <w:rFonts w:asciiTheme="minorHAnsi" w:hAnsiTheme="minorHAnsi"/>
          <w:sz w:val="22"/>
          <w:lang w:val="en-US"/>
        </w:rPr>
        <w:t xml:space="preserve">a few nation-wide projects financed from ESF implemented that are aimed at fostering the AL issues. </w:t>
      </w:r>
    </w:p>
    <w:p w:rsidR="00EA4EBD" w:rsidRDefault="00EA4EBD">
      <w:pPr>
        <w:rPr>
          <w:rFonts w:asciiTheme="minorHAnsi" w:hAnsiTheme="minorHAnsi"/>
          <w:sz w:val="22"/>
          <w:lang w:val="en-US"/>
        </w:rPr>
      </w:pPr>
    </w:p>
    <w:p w:rsidR="00EA4EBD" w:rsidRDefault="00EA4EBD">
      <w:pPr>
        <w:rPr>
          <w:rFonts w:asciiTheme="minorHAnsi" w:hAnsiTheme="minorHAnsi"/>
          <w:sz w:val="22"/>
          <w:lang w:val="en-US"/>
        </w:rPr>
      </w:pPr>
      <w:r>
        <w:rPr>
          <w:rFonts w:asciiTheme="minorHAnsi" w:hAnsiTheme="minorHAnsi"/>
          <w:sz w:val="22"/>
          <w:lang w:val="en-US"/>
        </w:rPr>
        <w:t xml:space="preserve">On the regional level – there is </w:t>
      </w:r>
      <w:r w:rsidR="008A6848">
        <w:rPr>
          <w:rFonts w:asciiTheme="minorHAnsi" w:hAnsiTheme="minorHAnsi"/>
          <w:sz w:val="22"/>
          <w:lang w:val="en-US"/>
        </w:rPr>
        <w:t xml:space="preserve">naturally </w:t>
      </w:r>
      <w:r>
        <w:rPr>
          <w:rFonts w:asciiTheme="minorHAnsi" w:hAnsiTheme="minorHAnsi"/>
          <w:sz w:val="22"/>
          <w:lang w:val="en-US"/>
        </w:rPr>
        <w:t>a number of training institutions offering non-formal learning activities, however there is no monitoring of these. Also a more active approach from the side of employers would be welcome – if they specified which qualifications are demanded and what skills the</w:t>
      </w:r>
      <w:r w:rsidR="008A6848">
        <w:rPr>
          <w:rFonts w:asciiTheme="minorHAnsi" w:hAnsiTheme="minorHAnsi"/>
          <w:sz w:val="22"/>
          <w:lang w:val="en-US"/>
        </w:rPr>
        <w:t xml:space="preserve"> </w:t>
      </w:r>
      <w:proofErr w:type="spellStart"/>
      <w:r w:rsidR="008A6848">
        <w:rPr>
          <w:rFonts w:asciiTheme="minorHAnsi" w:hAnsiTheme="minorHAnsi"/>
          <w:sz w:val="22"/>
          <w:lang w:val="en-US"/>
        </w:rPr>
        <w:t>labour</w:t>
      </w:r>
      <w:proofErr w:type="spellEnd"/>
      <w:r w:rsidR="008A6848">
        <w:rPr>
          <w:rFonts w:asciiTheme="minorHAnsi" w:hAnsiTheme="minorHAnsi"/>
          <w:sz w:val="22"/>
          <w:lang w:val="en-US"/>
        </w:rPr>
        <w:t xml:space="preserve"> force </w:t>
      </w:r>
      <w:r>
        <w:rPr>
          <w:rFonts w:asciiTheme="minorHAnsi" w:hAnsiTheme="minorHAnsi"/>
          <w:sz w:val="22"/>
          <w:lang w:val="en-US"/>
        </w:rPr>
        <w:t>should pos</w:t>
      </w:r>
      <w:r w:rsidR="00922EBF">
        <w:rPr>
          <w:rFonts w:asciiTheme="minorHAnsi" w:hAnsiTheme="minorHAnsi"/>
          <w:sz w:val="22"/>
          <w:lang w:val="en-US"/>
        </w:rPr>
        <w:t>s</w:t>
      </w:r>
      <w:r>
        <w:rPr>
          <w:rFonts w:asciiTheme="minorHAnsi" w:hAnsiTheme="minorHAnsi"/>
          <w:sz w:val="22"/>
          <w:lang w:val="en-US"/>
        </w:rPr>
        <w:t xml:space="preserve">es. </w:t>
      </w:r>
    </w:p>
    <w:p w:rsidR="00EA4EBD" w:rsidRDefault="00EA4EBD">
      <w:pPr>
        <w:rPr>
          <w:rFonts w:asciiTheme="minorHAnsi" w:hAnsiTheme="minorHAnsi"/>
          <w:sz w:val="22"/>
          <w:lang w:val="en-US"/>
        </w:rPr>
      </w:pPr>
    </w:p>
    <w:p w:rsidR="00D31F73" w:rsidRDefault="00EA4EBD">
      <w:pPr>
        <w:rPr>
          <w:rFonts w:asciiTheme="minorHAnsi" w:hAnsiTheme="minorHAnsi"/>
          <w:sz w:val="22"/>
          <w:lang w:val="en-US"/>
        </w:rPr>
      </w:pPr>
      <w:r>
        <w:rPr>
          <w:rFonts w:asciiTheme="minorHAnsi" w:hAnsiTheme="minorHAnsi"/>
          <w:sz w:val="22"/>
          <w:lang w:val="en-US"/>
        </w:rPr>
        <w:t xml:space="preserve">On the national level, there is no systemic approach to AL. The </w:t>
      </w:r>
      <w:proofErr w:type="gramStart"/>
      <w:r>
        <w:rPr>
          <w:rFonts w:asciiTheme="minorHAnsi" w:hAnsiTheme="minorHAnsi"/>
          <w:sz w:val="22"/>
          <w:lang w:val="en-US"/>
        </w:rPr>
        <w:t>validation of training and financial mechanism are</w:t>
      </w:r>
      <w:proofErr w:type="gramEnd"/>
      <w:r>
        <w:rPr>
          <w:rFonts w:asciiTheme="minorHAnsi" w:hAnsiTheme="minorHAnsi"/>
          <w:sz w:val="22"/>
          <w:lang w:val="en-US"/>
        </w:rPr>
        <w:t xml:space="preserve"> missing. There should be a clear system for designing and running of courses within the further vocational learning, in terms of scope, content, completion, financing, quality monitoring, accreditation.</w:t>
      </w:r>
      <w:r w:rsidR="00B45A13">
        <w:rPr>
          <w:rFonts w:asciiTheme="minorHAnsi" w:hAnsiTheme="minorHAnsi"/>
          <w:sz w:val="22"/>
          <w:lang w:val="en-US"/>
        </w:rPr>
        <w:t xml:space="preserve"> Such system needs to be accompanied with a set of registers/databases (quality/certified institutes, of training </w:t>
      </w:r>
      <w:proofErr w:type="spellStart"/>
      <w:r w:rsidR="00B45A13">
        <w:rPr>
          <w:rFonts w:asciiTheme="minorHAnsi" w:hAnsiTheme="minorHAnsi"/>
          <w:sz w:val="22"/>
          <w:lang w:val="en-US"/>
        </w:rPr>
        <w:t>programmes</w:t>
      </w:r>
      <w:proofErr w:type="spellEnd"/>
      <w:r w:rsidR="00B45A13">
        <w:rPr>
          <w:rFonts w:asciiTheme="minorHAnsi" w:hAnsiTheme="minorHAnsi"/>
          <w:sz w:val="22"/>
          <w:lang w:val="en-US"/>
        </w:rPr>
        <w:t>, of qualifications/professions demanded by employers)</w:t>
      </w:r>
      <w:r w:rsidR="002F5D00">
        <w:rPr>
          <w:rFonts w:asciiTheme="minorHAnsi" w:hAnsiTheme="minorHAnsi"/>
          <w:sz w:val="22"/>
          <w:lang w:val="en-US"/>
        </w:rPr>
        <w:t>.</w:t>
      </w:r>
    </w:p>
    <w:p w:rsidR="00922EBF" w:rsidRDefault="00922EBF">
      <w:pPr>
        <w:rPr>
          <w:rFonts w:asciiTheme="minorHAnsi" w:hAnsiTheme="minorHAnsi"/>
          <w:sz w:val="22"/>
          <w:lang w:val="en-US"/>
        </w:rPr>
      </w:pPr>
    </w:p>
    <w:p w:rsidR="00922EBF" w:rsidRDefault="00922EBF">
      <w:pPr>
        <w:rPr>
          <w:rFonts w:asciiTheme="minorHAnsi" w:hAnsiTheme="minorHAnsi"/>
          <w:sz w:val="22"/>
          <w:lang w:val="en-US"/>
        </w:rPr>
      </w:pPr>
      <w:r>
        <w:rPr>
          <w:rFonts w:asciiTheme="minorHAnsi" w:hAnsiTheme="minorHAnsi"/>
          <w:sz w:val="22"/>
          <w:lang w:val="en-US"/>
        </w:rPr>
        <w:t xml:space="preserve">The National Reform </w:t>
      </w:r>
      <w:proofErr w:type="spellStart"/>
      <w:r>
        <w:rPr>
          <w:rFonts w:asciiTheme="minorHAnsi" w:hAnsiTheme="minorHAnsi"/>
          <w:sz w:val="22"/>
          <w:lang w:val="en-US"/>
        </w:rPr>
        <w:t>Programme</w:t>
      </w:r>
      <w:proofErr w:type="spellEnd"/>
      <w:r>
        <w:rPr>
          <w:rFonts w:asciiTheme="minorHAnsi" w:hAnsiTheme="minorHAnsi"/>
          <w:sz w:val="22"/>
          <w:lang w:val="en-US"/>
        </w:rPr>
        <w:t xml:space="preserve"> in the chapter on Education deals also with Further Learning. The </w:t>
      </w:r>
      <w:proofErr w:type="gramStart"/>
      <w:r>
        <w:rPr>
          <w:rFonts w:asciiTheme="minorHAnsi" w:hAnsiTheme="minorHAnsi"/>
          <w:sz w:val="22"/>
          <w:lang w:val="en-US"/>
        </w:rPr>
        <w:t xml:space="preserve">need to increase the quality of educational </w:t>
      </w:r>
      <w:proofErr w:type="spellStart"/>
      <w:r>
        <w:rPr>
          <w:rFonts w:asciiTheme="minorHAnsi" w:hAnsiTheme="minorHAnsi"/>
          <w:sz w:val="22"/>
          <w:lang w:val="en-US"/>
        </w:rPr>
        <w:t>programmes</w:t>
      </w:r>
      <w:proofErr w:type="spellEnd"/>
      <w:r>
        <w:rPr>
          <w:rFonts w:asciiTheme="minorHAnsi" w:hAnsiTheme="minorHAnsi"/>
          <w:sz w:val="22"/>
          <w:lang w:val="en-US"/>
        </w:rPr>
        <w:t xml:space="preserve"> as well as the quality of educational institutions are</w:t>
      </w:r>
      <w:proofErr w:type="gramEnd"/>
      <w:r>
        <w:rPr>
          <w:rFonts w:asciiTheme="minorHAnsi" w:hAnsiTheme="minorHAnsi"/>
          <w:sz w:val="22"/>
          <w:lang w:val="en-US"/>
        </w:rPr>
        <w:t xml:space="preserve"> voiced. </w:t>
      </w:r>
    </w:p>
    <w:p w:rsidR="00EA4EBD" w:rsidRDefault="00EA4EBD">
      <w:pPr>
        <w:rPr>
          <w:rFonts w:asciiTheme="minorHAnsi" w:hAnsiTheme="minorHAnsi"/>
          <w:sz w:val="22"/>
          <w:lang w:val="en-US"/>
        </w:rPr>
      </w:pPr>
    </w:p>
    <w:p w:rsidR="00EA4EBD" w:rsidRDefault="00EA4EBD">
      <w:pPr>
        <w:rPr>
          <w:rFonts w:asciiTheme="minorHAnsi" w:hAnsiTheme="minorHAnsi"/>
          <w:sz w:val="22"/>
          <w:lang w:val="en-US"/>
        </w:rPr>
      </w:pPr>
      <w:r>
        <w:rPr>
          <w:rFonts w:asciiTheme="minorHAnsi" w:hAnsiTheme="minorHAnsi"/>
          <w:sz w:val="22"/>
          <w:lang w:val="en-US"/>
        </w:rPr>
        <w:t xml:space="preserve">Among the main drivers </w:t>
      </w:r>
      <w:r w:rsidR="00B45A13">
        <w:rPr>
          <w:rFonts w:asciiTheme="minorHAnsi" w:hAnsiTheme="minorHAnsi"/>
          <w:sz w:val="22"/>
          <w:lang w:val="en-US"/>
        </w:rPr>
        <w:t xml:space="preserve">of the policy formulation </w:t>
      </w:r>
      <w:proofErr w:type="gramStart"/>
      <w:r>
        <w:rPr>
          <w:rFonts w:asciiTheme="minorHAnsi" w:hAnsiTheme="minorHAnsi"/>
          <w:sz w:val="22"/>
          <w:lang w:val="en-US"/>
        </w:rPr>
        <w:t xml:space="preserve">the </w:t>
      </w:r>
      <w:r w:rsidR="00B45A13">
        <w:rPr>
          <w:rFonts w:asciiTheme="minorHAnsi" w:hAnsiTheme="minorHAnsi"/>
          <w:sz w:val="22"/>
          <w:lang w:val="en-US"/>
        </w:rPr>
        <w:t xml:space="preserve"> respondents</w:t>
      </w:r>
      <w:proofErr w:type="gramEnd"/>
      <w:r w:rsidR="00B45A13">
        <w:rPr>
          <w:rFonts w:asciiTheme="minorHAnsi" w:hAnsiTheme="minorHAnsi"/>
          <w:sz w:val="22"/>
          <w:lang w:val="en-US"/>
        </w:rPr>
        <w:t xml:space="preserve"> list the </w:t>
      </w:r>
      <w:r w:rsidR="008A6848">
        <w:rPr>
          <w:rFonts w:asciiTheme="minorHAnsi" w:hAnsiTheme="minorHAnsi"/>
          <w:sz w:val="22"/>
          <w:lang w:val="en-US"/>
        </w:rPr>
        <w:t xml:space="preserve">availability of EU funding and </w:t>
      </w:r>
      <w:r w:rsidR="00B45A13">
        <w:rPr>
          <w:rFonts w:asciiTheme="minorHAnsi" w:hAnsiTheme="minorHAnsi"/>
          <w:sz w:val="22"/>
          <w:lang w:val="en-US"/>
        </w:rPr>
        <w:t xml:space="preserve">efforts to lower </w:t>
      </w:r>
      <w:r w:rsidR="008A6848">
        <w:rPr>
          <w:rFonts w:asciiTheme="minorHAnsi" w:hAnsiTheme="minorHAnsi"/>
          <w:sz w:val="22"/>
          <w:lang w:val="en-US"/>
        </w:rPr>
        <w:t xml:space="preserve">the </w:t>
      </w:r>
      <w:r w:rsidR="00B45A13">
        <w:rPr>
          <w:rFonts w:asciiTheme="minorHAnsi" w:hAnsiTheme="minorHAnsi"/>
          <w:sz w:val="22"/>
          <w:lang w:val="en-US"/>
        </w:rPr>
        <w:t>unemployment.</w:t>
      </w:r>
    </w:p>
    <w:p w:rsidR="00B45A13" w:rsidRDefault="00B45A13">
      <w:pPr>
        <w:rPr>
          <w:rFonts w:asciiTheme="minorHAnsi" w:hAnsiTheme="minorHAnsi"/>
          <w:sz w:val="22"/>
          <w:lang w:val="en-US"/>
        </w:rPr>
      </w:pPr>
    </w:p>
    <w:p w:rsidR="00B45A13" w:rsidRDefault="00B45A13">
      <w:pPr>
        <w:rPr>
          <w:rFonts w:asciiTheme="minorHAnsi" w:hAnsiTheme="minorHAnsi"/>
          <w:sz w:val="22"/>
          <w:lang w:val="en-US"/>
        </w:rPr>
      </w:pPr>
      <w:r>
        <w:rPr>
          <w:rFonts w:asciiTheme="minorHAnsi" w:hAnsiTheme="minorHAnsi"/>
          <w:sz w:val="22"/>
          <w:lang w:val="en-US"/>
        </w:rPr>
        <w:t>What could help the policy makers are best practices, examples from other countries and cooperation (especially the one between employers and schools in terms of stating the needs and reflecting them.)</w:t>
      </w:r>
      <w:r w:rsidR="002F5D00">
        <w:rPr>
          <w:rFonts w:asciiTheme="minorHAnsi" w:hAnsiTheme="minorHAnsi"/>
          <w:sz w:val="22"/>
          <w:lang w:val="en-US"/>
        </w:rPr>
        <w:t xml:space="preserve"> A survey such as PIAAC for regional leve</w:t>
      </w:r>
      <w:r w:rsidR="00922EBF">
        <w:rPr>
          <w:rFonts w:asciiTheme="minorHAnsi" w:hAnsiTheme="minorHAnsi"/>
          <w:sz w:val="22"/>
          <w:lang w:val="en-US"/>
        </w:rPr>
        <w:t>l</w:t>
      </w:r>
      <w:r w:rsidR="008A6848">
        <w:rPr>
          <w:rFonts w:asciiTheme="minorHAnsi" w:hAnsiTheme="minorHAnsi"/>
          <w:sz w:val="22"/>
          <w:lang w:val="en-US"/>
        </w:rPr>
        <w:t>s</w:t>
      </w:r>
      <w:r w:rsidR="00101E68">
        <w:rPr>
          <w:rFonts w:asciiTheme="minorHAnsi" w:hAnsiTheme="minorHAnsi"/>
          <w:sz w:val="22"/>
          <w:lang w:val="en-US"/>
        </w:rPr>
        <w:t xml:space="preserve"> </w:t>
      </w:r>
      <w:r w:rsidR="002D21C7">
        <w:rPr>
          <w:rFonts w:asciiTheme="minorHAnsi" w:hAnsiTheme="minorHAnsi"/>
          <w:sz w:val="22"/>
          <w:lang w:val="en-US"/>
        </w:rPr>
        <w:t>and regional st</w:t>
      </w:r>
      <w:r w:rsidR="00D81837">
        <w:rPr>
          <w:rFonts w:asciiTheme="minorHAnsi" w:hAnsiTheme="minorHAnsi"/>
          <w:sz w:val="22"/>
          <w:lang w:val="en-US"/>
        </w:rPr>
        <w:t>a</w:t>
      </w:r>
      <w:r w:rsidR="002D21C7">
        <w:rPr>
          <w:rFonts w:asciiTheme="minorHAnsi" w:hAnsiTheme="minorHAnsi"/>
          <w:sz w:val="22"/>
          <w:lang w:val="en-US"/>
        </w:rPr>
        <w:t xml:space="preserve">tistics on </w:t>
      </w:r>
      <w:r w:rsidR="008A6848">
        <w:rPr>
          <w:rFonts w:asciiTheme="minorHAnsi" w:hAnsiTheme="minorHAnsi"/>
          <w:sz w:val="22"/>
          <w:lang w:val="en-US"/>
        </w:rPr>
        <w:t>A</w:t>
      </w:r>
      <w:r w:rsidR="002D21C7">
        <w:rPr>
          <w:rFonts w:asciiTheme="minorHAnsi" w:hAnsiTheme="minorHAnsi"/>
          <w:sz w:val="22"/>
          <w:lang w:val="en-US"/>
        </w:rPr>
        <w:t xml:space="preserve">L </w:t>
      </w:r>
      <w:r w:rsidR="00101E68">
        <w:rPr>
          <w:rFonts w:asciiTheme="minorHAnsi" w:hAnsiTheme="minorHAnsi"/>
          <w:sz w:val="22"/>
          <w:lang w:val="en-US"/>
        </w:rPr>
        <w:t>would be helpful.</w:t>
      </w:r>
    </w:p>
    <w:p w:rsidR="00B45A13" w:rsidRDefault="00B45A13">
      <w:pPr>
        <w:rPr>
          <w:rFonts w:asciiTheme="minorHAnsi" w:hAnsiTheme="minorHAnsi"/>
          <w:sz w:val="22"/>
          <w:lang w:val="en-US"/>
        </w:rPr>
      </w:pPr>
    </w:p>
    <w:p w:rsidR="00307B2D" w:rsidRPr="00307B2D" w:rsidRDefault="00307B2D" w:rsidP="00307B2D">
      <w:pPr>
        <w:rPr>
          <w:rFonts w:ascii="Calibri" w:hAnsi="Calibri" w:cs="Tahoma"/>
          <w:bCs/>
          <w:sz w:val="22"/>
          <w:szCs w:val="22"/>
          <w:lang w:val="en-GB"/>
        </w:rPr>
      </w:pPr>
      <w:r>
        <w:rPr>
          <w:rFonts w:ascii="Calibri" w:hAnsi="Calibri" w:cs="Tahoma"/>
          <w:bCs/>
          <w:sz w:val="22"/>
          <w:szCs w:val="22"/>
          <w:lang w:val="en-GB"/>
        </w:rPr>
        <w:t>A c</w:t>
      </w:r>
      <w:r w:rsidRPr="00307B2D">
        <w:rPr>
          <w:rFonts w:ascii="Calibri" w:hAnsi="Calibri" w:cs="Tahoma"/>
          <w:bCs/>
          <w:sz w:val="22"/>
          <w:szCs w:val="22"/>
          <w:lang w:val="en-GB"/>
        </w:rPr>
        <w:t>omprehensive statistics on (active) providers of education and available courses</w:t>
      </w:r>
      <w:r>
        <w:rPr>
          <w:rFonts w:ascii="Calibri" w:hAnsi="Calibri" w:cs="Tahoma"/>
          <w:bCs/>
          <w:sz w:val="22"/>
          <w:szCs w:val="22"/>
          <w:lang w:val="en-GB"/>
        </w:rPr>
        <w:t xml:space="preserve"> would be helpful as well as a</w:t>
      </w:r>
      <w:r w:rsidRPr="00307B2D">
        <w:rPr>
          <w:rFonts w:ascii="Calibri" w:hAnsi="Calibri" w:cs="Tahoma"/>
          <w:bCs/>
          <w:sz w:val="22"/>
          <w:szCs w:val="22"/>
          <w:lang w:val="en-GB"/>
        </w:rPr>
        <w:t xml:space="preserve"> </w:t>
      </w:r>
      <w:r>
        <w:rPr>
          <w:rFonts w:ascii="Calibri" w:hAnsi="Calibri" w:cs="Tahoma"/>
          <w:bCs/>
          <w:sz w:val="22"/>
          <w:szCs w:val="22"/>
          <w:lang w:val="en-GB"/>
        </w:rPr>
        <w:t>good information system on courses, and providers.</w:t>
      </w:r>
    </w:p>
    <w:p w:rsidR="00307B2D" w:rsidRDefault="00307B2D">
      <w:pPr>
        <w:rPr>
          <w:rFonts w:asciiTheme="minorHAnsi" w:hAnsiTheme="minorHAnsi"/>
          <w:sz w:val="22"/>
          <w:lang w:val="en-US"/>
        </w:rPr>
      </w:pPr>
    </w:p>
    <w:p w:rsidR="008A6848" w:rsidRDefault="008A6848">
      <w:pPr>
        <w:rPr>
          <w:rFonts w:asciiTheme="minorHAnsi" w:eastAsiaTheme="majorEastAsia" w:hAnsiTheme="minorHAnsi" w:cstheme="majorBidi"/>
          <w:b/>
          <w:bCs/>
          <w:iCs/>
          <w:color w:val="1F497D" w:themeColor="text2"/>
          <w:sz w:val="22"/>
          <w:szCs w:val="22"/>
          <w:lang w:val="en-US"/>
        </w:rPr>
      </w:pPr>
      <w:bookmarkStart w:id="7" w:name="_Toc372035098"/>
      <w:r>
        <w:br w:type="page"/>
      </w:r>
    </w:p>
    <w:p w:rsidR="00D31F73" w:rsidRDefault="00D31F73" w:rsidP="00D31F73">
      <w:pPr>
        <w:pStyle w:val="Nadpis2"/>
      </w:pPr>
      <w:r>
        <w:lastRenderedPageBreak/>
        <w:t>Conclusions</w:t>
      </w:r>
      <w:bookmarkEnd w:id="7"/>
    </w:p>
    <w:p w:rsidR="00D31F73" w:rsidRDefault="00D31F73">
      <w:pPr>
        <w:rPr>
          <w:rFonts w:asciiTheme="minorHAnsi" w:hAnsiTheme="minorHAnsi"/>
          <w:sz w:val="22"/>
          <w:lang w:val="en-US"/>
        </w:rPr>
      </w:pPr>
    </w:p>
    <w:p w:rsidR="00E52F3D" w:rsidRDefault="002D21C7">
      <w:pPr>
        <w:rPr>
          <w:rFonts w:ascii="Calibri" w:hAnsi="Calibri" w:cs="Tahoma"/>
          <w:bCs/>
          <w:sz w:val="22"/>
          <w:szCs w:val="22"/>
          <w:lang w:val="en-GB"/>
        </w:rPr>
      </w:pPr>
      <w:r>
        <w:rPr>
          <w:rFonts w:ascii="Calibri" w:hAnsi="Calibri" w:cs="Tahoma"/>
          <w:bCs/>
          <w:sz w:val="22"/>
          <w:szCs w:val="22"/>
          <w:lang w:val="en-GB"/>
        </w:rPr>
        <w:t xml:space="preserve">AL policy at regional levels is not formulated. The main </w:t>
      </w:r>
      <w:r w:rsidR="00E52F3D">
        <w:rPr>
          <w:rFonts w:ascii="Calibri" w:hAnsi="Calibri" w:cs="Tahoma"/>
          <w:bCs/>
          <w:sz w:val="22"/>
          <w:szCs w:val="22"/>
          <w:lang w:val="en-GB"/>
        </w:rPr>
        <w:t xml:space="preserve">national </w:t>
      </w:r>
      <w:r>
        <w:rPr>
          <w:rFonts w:ascii="Calibri" w:hAnsi="Calibri" w:cs="Tahoma"/>
          <w:bCs/>
          <w:sz w:val="22"/>
          <w:szCs w:val="22"/>
          <w:lang w:val="en-GB"/>
        </w:rPr>
        <w:t xml:space="preserve">strategy papers on lifelong learning (covering also AL) were prepared on the basis of the European Commission´s Memorandum on Lifelong Learning from 2000. The current activities in the area of AL are framed by the Act on Lifelong Learning from 2009 and a Strategy of Lifelong Learning including an Action Plan from 2011. The Strategy is being implemented slowly and basically only through national projects funded by ESF. It seems that no national funding </w:t>
      </w:r>
      <w:r w:rsidR="00E52F3D">
        <w:rPr>
          <w:rFonts w:ascii="Calibri" w:hAnsi="Calibri" w:cs="Tahoma"/>
          <w:bCs/>
          <w:sz w:val="22"/>
          <w:szCs w:val="22"/>
          <w:lang w:val="en-GB"/>
        </w:rPr>
        <w:t>is used for the AL sector. However, currently there are efforts to change this situation and a new law is prepared that should introduce a complex system of designing, quality control of training programmes, institutions, monitoring of needs and also financing.</w:t>
      </w:r>
    </w:p>
    <w:p w:rsidR="002D21C7" w:rsidRDefault="002D21C7">
      <w:pPr>
        <w:rPr>
          <w:rFonts w:ascii="Calibri" w:hAnsi="Calibri" w:cs="Tahoma"/>
          <w:bCs/>
          <w:sz w:val="22"/>
          <w:szCs w:val="22"/>
          <w:lang w:val="en-GB"/>
        </w:rPr>
      </w:pPr>
    </w:p>
    <w:p w:rsidR="00841839" w:rsidRPr="00841839" w:rsidRDefault="00E52F3D" w:rsidP="00841839">
      <w:pPr>
        <w:rPr>
          <w:lang w:val="en-US"/>
        </w:rPr>
      </w:pPr>
      <w:r>
        <w:rPr>
          <w:rFonts w:ascii="Calibri" w:hAnsi="Calibri" w:cs="Tahoma"/>
          <w:bCs/>
          <w:sz w:val="22"/>
          <w:szCs w:val="22"/>
          <w:lang w:val="en-GB"/>
        </w:rPr>
        <w:t>However there are also regional activities in this area, albeit not recognised as such by name</w:t>
      </w:r>
      <w:r w:rsidR="00841839">
        <w:rPr>
          <w:rFonts w:ascii="Calibri" w:hAnsi="Calibri" w:cs="Tahoma"/>
          <w:bCs/>
          <w:sz w:val="22"/>
          <w:szCs w:val="22"/>
          <w:lang w:val="en-GB"/>
        </w:rPr>
        <w:t xml:space="preserve"> AL (the terminology that is used includes further education, continuous education, </w:t>
      </w:r>
      <w:proofErr w:type="gramStart"/>
      <w:r w:rsidR="00841839">
        <w:rPr>
          <w:rFonts w:ascii="Calibri" w:hAnsi="Calibri" w:cs="Tahoma"/>
          <w:bCs/>
          <w:sz w:val="22"/>
          <w:szCs w:val="22"/>
          <w:lang w:val="en-GB"/>
        </w:rPr>
        <w:t>requalification</w:t>
      </w:r>
      <w:proofErr w:type="gramEnd"/>
      <w:r w:rsidR="00841839">
        <w:rPr>
          <w:rFonts w:ascii="Calibri" w:hAnsi="Calibri" w:cs="Tahoma"/>
          <w:bCs/>
          <w:sz w:val="22"/>
          <w:szCs w:val="22"/>
          <w:lang w:val="en-GB"/>
        </w:rPr>
        <w:t>)</w:t>
      </w:r>
      <w:r>
        <w:rPr>
          <w:rFonts w:ascii="Calibri" w:hAnsi="Calibri" w:cs="Tahoma"/>
          <w:bCs/>
          <w:sz w:val="22"/>
          <w:szCs w:val="22"/>
          <w:lang w:val="en-GB"/>
        </w:rPr>
        <w:t xml:space="preserve">. They are included in chapters on Employment or Human Resources within the regional Social and Economic Development Plans. Here the main goals are to create opportunities for labour force to qualify and re-qualify to be able to stay on the job or find a new one. </w:t>
      </w:r>
    </w:p>
    <w:p w:rsidR="008A6848" w:rsidRDefault="008A6848">
      <w:pPr>
        <w:rPr>
          <w:rFonts w:ascii="Calibri" w:hAnsi="Calibri" w:cs="Tahoma"/>
          <w:bCs/>
          <w:sz w:val="22"/>
          <w:szCs w:val="22"/>
          <w:lang w:val="en-GB"/>
        </w:rPr>
      </w:pPr>
    </w:p>
    <w:p w:rsidR="00E52F3D" w:rsidRDefault="00D81837">
      <w:pPr>
        <w:rPr>
          <w:rFonts w:ascii="Calibri" w:hAnsi="Calibri" w:cs="Tahoma"/>
          <w:bCs/>
          <w:sz w:val="22"/>
          <w:szCs w:val="22"/>
          <w:lang w:val="en-GB"/>
        </w:rPr>
      </w:pPr>
      <w:r>
        <w:rPr>
          <w:rFonts w:ascii="Calibri" w:hAnsi="Calibri" w:cs="Tahoma"/>
          <w:bCs/>
          <w:sz w:val="22"/>
          <w:szCs w:val="22"/>
          <w:lang w:val="en-GB"/>
        </w:rPr>
        <w:t xml:space="preserve">The </w:t>
      </w:r>
      <w:r w:rsidR="00C51155">
        <w:rPr>
          <w:rFonts w:ascii="Calibri" w:hAnsi="Calibri" w:cs="Tahoma"/>
          <w:bCs/>
          <w:sz w:val="22"/>
          <w:szCs w:val="22"/>
          <w:lang w:val="en-GB"/>
        </w:rPr>
        <w:t xml:space="preserve">planning and </w:t>
      </w:r>
      <w:r>
        <w:rPr>
          <w:rFonts w:ascii="Calibri" w:hAnsi="Calibri" w:cs="Tahoma"/>
          <w:bCs/>
          <w:sz w:val="22"/>
          <w:szCs w:val="22"/>
          <w:lang w:val="en-GB"/>
        </w:rPr>
        <w:t>implementation of any activit</w:t>
      </w:r>
      <w:r w:rsidR="00C51155">
        <w:rPr>
          <w:rFonts w:ascii="Calibri" w:hAnsi="Calibri" w:cs="Tahoma"/>
          <w:bCs/>
          <w:sz w:val="22"/>
          <w:szCs w:val="22"/>
          <w:lang w:val="en-GB"/>
        </w:rPr>
        <w:t>ies in the AL area is driven by the EU programming, and Structural Funds administration.</w:t>
      </w:r>
    </w:p>
    <w:p w:rsidR="00D81837" w:rsidRDefault="00D81837">
      <w:pPr>
        <w:rPr>
          <w:rFonts w:ascii="Calibri" w:hAnsi="Calibri" w:cs="Tahoma"/>
          <w:bCs/>
          <w:sz w:val="22"/>
          <w:szCs w:val="22"/>
          <w:lang w:val="en-GB"/>
        </w:rPr>
      </w:pPr>
    </w:p>
    <w:p w:rsidR="00C51155" w:rsidRDefault="00C51155">
      <w:pPr>
        <w:rPr>
          <w:rFonts w:ascii="Calibri" w:hAnsi="Calibri" w:cs="Tahoma"/>
          <w:bCs/>
          <w:sz w:val="22"/>
          <w:szCs w:val="22"/>
          <w:lang w:val="en-GB"/>
        </w:rPr>
      </w:pPr>
      <w:r>
        <w:rPr>
          <w:rFonts w:ascii="Calibri" w:hAnsi="Calibri" w:cs="Tahoma"/>
          <w:bCs/>
          <w:sz w:val="22"/>
          <w:szCs w:val="22"/>
          <w:lang w:val="en-GB"/>
        </w:rPr>
        <w:t xml:space="preserve">The Strategy on Lifelong Learning </w:t>
      </w:r>
      <w:r w:rsidR="00307B2D">
        <w:rPr>
          <w:rFonts w:ascii="Calibri" w:hAnsi="Calibri" w:cs="Tahoma"/>
          <w:bCs/>
          <w:sz w:val="22"/>
          <w:szCs w:val="22"/>
          <w:lang w:val="en-GB"/>
        </w:rPr>
        <w:t>mentions 3 dimensions of LLL, however only the economic dimension is being pursued through implementation. The social/societal/active citizenship and personal development are not</w:t>
      </w:r>
      <w:r w:rsidR="008A6848">
        <w:rPr>
          <w:rFonts w:ascii="Calibri" w:hAnsi="Calibri" w:cs="Tahoma"/>
          <w:bCs/>
          <w:sz w:val="22"/>
          <w:szCs w:val="22"/>
          <w:lang w:val="en-GB"/>
        </w:rPr>
        <w:t xml:space="preserve"> reflected.</w:t>
      </w:r>
    </w:p>
    <w:p w:rsidR="008A6848" w:rsidRDefault="008A6848">
      <w:pPr>
        <w:rPr>
          <w:rFonts w:ascii="Calibri" w:hAnsi="Calibri" w:cs="Tahoma"/>
          <w:bCs/>
          <w:sz w:val="22"/>
          <w:szCs w:val="22"/>
          <w:lang w:val="en-GB"/>
        </w:rPr>
      </w:pPr>
    </w:p>
    <w:p w:rsidR="00E52F3D" w:rsidRDefault="008A6848">
      <w:pPr>
        <w:rPr>
          <w:rFonts w:ascii="Calibri" w:hAnsi="Calibri" w:cs="Tahoma"/>
          <w:bCs/>
          <w:sz w:val="22"/>
          <w:szCs w:val="22"/>
          <w:lang w:val="en-GB"/>
        </w:rPr>
      </w:pPr>
      <w:r>
        <w:rPr>
          <w:rFonts w:ascii="Calibri" w:hAnsi="Calibri" w:cs="Tahoma"/>
          <w:bCs/>
          <w:sz w:val="22"/>
          <w:szCs w:val="22"/>
          <w:lang w:val="en-GB"/>
        </w:rPr>
        <w:t xml:space="preserve">As lessons learnt we could offer the fact that a lot </w:t>
      </w:r>
      <w:r w:rsidR="00774861">
        <w:rPr>
          <w:rFonts w:ascii="Calibri" w:hAnsi="Calibri" w:cs="Tahoma"/>
          <w:bCs/>
          <w:sz w:val="22"/>
          <w:szCs w:val="22"/>
          <w:lang w:val="en-GB"/>
        </w:rPr>
        <w:t xml:space="preserve">of </w:t>
      </w:r>
      <w:r>
        <w:rPr>
          <w:rFonts w:ascii="Calibri" w:hAnsi="Calibri" w:cs="Tahoma"/>
          <w:bCs/>
          <w:sz w:val="22"/>
          <w:szCs w:val="22"/>
          <w:lang w:val="en-GB"/>
        </w:rPr>
        <w:t xml:space="preserve">funding can be directed to AL area from structural funds. The </w:t>
      </w:r>
      <w:proofErr w:type="spellStart"/>
      <w:r>
        <w:rPr>
          <w:rFonts w:ascii="Calibri" w:hAnsi="Calibri" w:cs="Tahoma"/>
          <w:bCs/>
          <w:sz w:val="22"/>
          <w:szCs w:val="22"/>
          <w:lang w:val="en-GB"/>
        </w:rPr>
        <w:t>precondidtion</w:t>
      </w:r>
      <w:proofErr w:type="spellEnd"/>
      <w:r>
        <w:rPr>
          <w:rFonts w:ascii="Calibri" w:hAnsi="Calibri" w:cs="Tahoma"/>
          <w:bCs/>
          <w:sz w:val="22"/>
          <w:szCs w:val="22"/>
          <w:lang w:val="en-GB"/>
        </w:rPr>
        <w:t xml:space="preserve"> for efficient use is good statistical data, information on learning needs and an AL strategy on regional level.</w:t>
      </w:r>
    </w:p>
    <w:p w:rsidR="008A6848" w:rsidRDefault="008A6848">
      <w:pPr>
        <w:rPr>
          <w:rFonts w:ascii="Calibri" w:hAnsi="Calibri" w:cs="Tahoma"/>
          <w:bCs/>
          <w:sz w:val="22"/>
          <w:szCs w:val="22"/>
          <w:lang w:val="en-GB"/>
        </w:rPr>
      </w:pPr>
    </w:p>
    <w:p w:rsidR="008A6848" w:rsidRDefault="008A6848">
      <w:pPr>
        <w:rPr>
          <w:rFonts w:ascii="Calibri" w:hAnsi="Calibri" w:cs="Tahoma"/>
          <w:bCs/>
          <w:sz w:val="22"/>
          <w:szCs w:val="22"/>
          <w:lang w:val="en-GB"/>
        </w:rPr>
      </w:pPr>
      <w:r>
        <w:rPr>
          <w:rFonts w:ascii="Calibri" w:hAnsi="Calibri" w:cs="Tahoma"/>
          <w:bCs/>
          <w:sz w:val="22"/>
          <w:szCs w:val="22"/>
          <w:lang w:val="en-GB"/>
        </w:rPr>
        <w:t>The national policy on AL formulated at the centre needs to be transferred to the regions and reflect the regional needs in order to be efficiently implemented.</w:t>
      </w:r>
    </w:p>
    <w:p w:rsidR="008A6848" w:rsidRDefault="008A6848">
      <w:pPr>
        <w:rPr>
          <w:rFonts w:ascii="Calibri" w:hAnsi="Calibri" w:cs="Tahoma"/>
          <w:bCs/>
          <w:sz w:val="22"/>
          <w:szCs w:val="22"/>
          <w:lang w:val="en-GB"/>
        </w:rPr>
      </w:pPr>
    </w:p>
    <w:p w:rsidR="008A6848" w:rsidRDefault="00E8386D">
      <w:pPr>
        <w:rPr>
          <w:rFonts w:ascii="Calibri" w:hAnsi="Calibri" w:cs="Tahoma"/>
          <w:bCs/>
          <w:sz w:val="22"/>
          <w:szCs w:val="22"/>
          <w:lang w:val="en-GB"/>
        </w:rPr>
      </w:pPr>
      <w:r>
        <w:rPr>
          <w:rFonts w:ascii="Calibri" w:hAnsi="Calibri" w:cs="Tahoma"/>
          <w:bCs/>
          <w:sz w:val="22"/>
          <w:szCs w:val="22"/>
          <w:lang w:val="en-GB"/>
        </w:rPr>
        <w:t>Once there is a decision to formulate a regional AL policy, a network of all relevant stakeholders should be set up and an analysis of the situation with regard to training needs and existing opportunities should be prepared.</w:t>
      </w:r>
    </w:p>
    <w:p w:rsidR="00D31F73" w:rsidRDefault="00D31F73">
      <w:pPr>
        <w:rPr>
          <w:rFonts w:asciiTheme="minorHAnsi" w:eastAsiaTheme="majorEastAsia" w:hAnsiTheme="minorHAnsi" w:cstheme="majorBidi"/>
          <w:b/>
          <w:bCs/>
          <w:iCs/>
          <w:color w:val="1F497D" w:themeColor="text2"/>
          <w:sz w:val="22"/>
          <w:szCs w:val="22"/>
          <w:lang w:val="en-US"/>
        </w:rPr>
      </w:pPr>
      <w:bookmarkStart w:id="8" w:name="_Toc372035099"/>
      <w:r>
        <w:br w:type="page"/>
      </w:r>
    </w:p>
    <w:p w:rsidR="00D31F73" w:rsidRPr="00302D74" w:rsidRDefault="00D31F73" w:rsidP="00D31F73">
      <w:pPr>
        <w:pStyle w:val="Nadpis2"/>
      </w:pPr>
      <w:r>
        <w:lastRenderedPageBreak/>
        <w:t>Bibliography</w:t>
      </w:r>
      <w:bookmarkEnd w:id="8"/>
    </w:p>
    <w:p w:rsidR="00771808" w:rsidRDefault="00771808">
      <w:pPr>
        <w:rPr>
          <w:rFonts w:asciiTheme="minorHAnsi" w:hAnsiTheme="minorHAnsi"/>
          <w:sz w:val="22"/>
          <w:u w:val="single"/>
          <w:lang w:val="en-US"/>
        </w:rPr>
      </w:pPr>
    </w:p>
    <w:p w:rsidR="00302D74" w:rsidRDefault="00771808">
      <w:pPr>
        <w:rPr>
          <w:rFonts w:asciiTheme="minorHAnsi" w:hAnsiTheme="minorHAnsi"/>
          <w:sz w:val="22"/>
          <w:u w:val="single"/>
          <w:lang w:val="en-US"/>
        </w:rPr>
      </w:pPr>
      <w:r w:rsidRPr="00771808">
        <w:rPr>
          <w:rFonts w:asciiTheme="minorHAnsi" w:hAnsiTheme="minorHAnsi"/>
          <w:sz w:val="22"/>
          <w:u w:val="single"/>
          <w:lang w:val="en-US"/>
        </w:rPr>
        <w:t>Documents</w:t>
      </w:r>
    </w:p>
    <w:p w:rsidR="00771808" w:rsidRDefault="00771808">
      <w:pPr>
        <w:rPr>
          <w:rFonts w:asciiTheme="minorHAnsi" w:hAnsiTheme="minorHAnsi"/>
          <w:sz w:val="22"/>
          <w:lang w:val="en-US"/>
        </w:rPr>
      </w:pPr>
      <w:r>
        <w:rPr>
          <w:rFonts w:asciiTheme="minorHAnsi" w:hAnsiTheme="minorHAnsi"/>
          <w:sz w:val="22"/>
          <w:lang w:val="en-US"/>
        </w:rPr>
        <w:t>*</w:t>
      </w:r>
      <w:proofErr w:type="spellStart"/>
      <w:r>
        <w:rPr>
          <w:rFonts w:asciiTheme="minorHAnsi" w:hAnsiTheme="minorHAnsi"/>
          <w:sz w:val="22"/>
          <w:lang w:val="en-US"/>
        </w:rPr>
        <w:t>Stratégia</w:t>
      </w:r>
      <w:proofErr w:type="spellEnd"/>
      <w:r>
        <w:rPr>
          <w:rFonts w:asciiTheme="minorHAnsi" w:hAnsiTheme="minorHAnsi"/>
          <w:sz w:val="22"/>
          <w:lang w:val="en-US"/>
        </w:rPr>
        <w:t xml:space="preserve"> </w:t>
      </w:r>
      <w:proofErr w:type="spellStart"/>
      <w:r>
        <w:rPr>
          <w:rFonts w:asciiTheme="minorHAnsi" w:hAnsiTheme="minorHAnsi"/>
          <w:sz w:val="22"/>
          <w:lang w:val="en-US"/>
        </w:rPr>
        <w:t>celoživotného</w:t>
      </w:r>
      <w:proofErr w:type="spellEnd"/>
      <w:r>
        <w:rPr>
          <w:rFonts w:asciiTheme="minorHAnsi" w:hAnsiTheme="minorHAnsi"/>
          <w:sz w:val="22"/>
          <w:lang w:val="en-US"/>
        </w:rPr>
        <w:t xml:space="preserve"> </w:t>
      </w:r>
      <w:proofErr w:type="spellStart"/>
      <w:r>
        <w:rPr>
          <w:rFonts w:asciiTheme="minorHAnsi" w:hAnsiTheme="minorHAnsi"/>
          <w:sz w:val="22"/>
          <w:lang w:val="en-US"/>
        </w:rPr>
        <w:t>vzdelávania</w:t>
      </w:r>
      <w:proofErr w:type="spellEnd"/>
      <w:r>
        <w:rPr>
          <w:rFonts w:asciiTheme="minorHAnsi" w:hAnsiTheme="minorHAnsi"/>
          <w:sz w:val="22"/>
          <w:lang w:val="en-US"/>
        </w:rPr>
        <w:t xml:space="preserve"> 2011 (Strategy of Lifelong Learning)</w:t>
      </w:r>
    </w:p>
    <w:p w:rsidR="00871D4F" w:rsidRPr="00E8386D" w:rsidRDefault="00871D4F" w:rsidP="00871D4F">
      <w:pPr>
        <w:rPr>
          <w:rFonts w:asciiTheme="minorHAnsi" w:hAnsiTheme="minorHAnsi"/>
          <w:sz w:val="22"/>
          <w:szCs w:val="22"/>
          <w:lang w:val="en-US"/>
        </w:rPr>
      </w:pPr>
      <w:r w:rsidRPr="00E8386D">
        <w:rPr>
          <w:rFonts w:asciiTheme="minorHAnsi" w:hAnsiTheme="minorHAnsi"/>
          <w:sz w:val="22"/>
          <w:szCs w:val="22"/>
          <w:lang w:val="en-US"/>
        </w:rPr>
        <w:t>*</w:t>
      </w:r>
      <w:proofErr w:type="spellStart"/>
      <w:r w:rsidRPr="00E8386D">
        <w:rPr>
          <w:rFonts w:asciiTheme="minorHAnsi" w:hAnsiTheme="minorHAnsi"/>
          <w:sz w:val="22"/>
          <w:szCs w:val="22"/>
          <w:lang w:val="en-US"/>
        </w:rPr>
        <w:t>Národný</w:t>
      </w:r>
      <w:proofErr w:type="spellEnd"/>
      <w:r w:rsidRPr="00E8386D">
        <w:rPr>
          <w:rFonts w:asciiTheme="minorHAnsi" w:hAnsiTheme="minorHAnsi"/>
          <w:sz w:val="22"/>
          <w:szCs w:val="22"/>
          <w:lang w:val="en-US"/>
        </w:rPr>
        <w:t xml:space="preserve"> program </w:t>
      </w:r>
      <w:proofErr w:type="spellStart"/>
      <w:r w:rsidRPr="00E8386D">
        <w:rPr>
          <w:rFonts w:asciiTheme="minorHAnsi" w:hAnsiTheme="minorHAnsi"/>
          <w:sz w:val="22"/>
          <w:szCs w:val="22"/>
          <w:lang w:val="en-US"/>
        </w:rPr>
        <w:t>reforiem</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Slovenskej</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republiky</w:t>
      </w:r>
      <w:proofErr w:type="spellEnd"/>
      <w:r w:rsidRPr="00E8386D">
        <w:rPr>
          <w:rFonts w:asciiTheme="minorHAnsi" w:hAnsiTheme="minorHAnsi"/>
          <w:sz w:val="22"/>
          <w:szCs w:val="22"/>
          <w:lang w:val="en-US"/>
        </w:rPr>
        <w:t xml:space="preserve"> 2012, Slovak Government </w:t>
      </w:r>
      <w:r w:rsidR="00E8386D">
        <w:rPr>
          <w:rFonts w:asciiTheme="minorHAnsi" w:hAnsiTheme="minorHAnsi"/>
          <w:sz w:val="22"/>
          <w:szCs w:val="22"/>
          <w:lang w:val="en-US"/>
        </w:rPr>
        <w:t>(</w:t>
      </w:r>
      <w:r w:rsidRPr="00E8386D">
        <w:rPr>
          <w:rFonts w:asciiTheme="minorHAnsi" w:hAnsiTheme="minorHAnsi"/>
          <w:sz w:val="22"/>
          <w:szCs w:val="22"/>
          <w:lang w:val="en-US"/>
        </w:rPr>
        <w:t xml:space="preserve">National Reform </w:t>
      </w:r>
      <w:proofErr w:type="spellStart"/>
      <w:r w:rsidRPr="00E8386D">
        <w:rPr>
          <w:rFonts w:asciiTheme="minorHAnsi" w:hAnsiTheme="minorHAnsi"/>
          <w:sz w:val="22"/>
          <w:szCs w:val="22"/>
          <w:lang w:val="en-US"/>
        </w:rPr>
        <w:t>Programme</w:t>
      </w:r>
      <w:proofErr w:type="spellEnd"/>
      <w:r w:rsidRPr="00E8386D">
        <w:rPr>
          <w:rFonts w:asciiTheme="minorHAnsi" w:hAnsiTheme="minorHAnsi"/>
          <w:sz w:val="22"/>
          <w:szCs w:val="22"/>
          <w:lang w:val="en-US"/>
        </w:rPr>
        <w:t xml:space="preserve"> of the Slovak Republic 2012</w:t>
      </w:r>
      <w:r w:rsidR="00E8386D">
        <w:rPr>
          <w:rFonts w:asciiTheme="minorHAnsi" w:hAnsiTheme="minorHAnsi"/>
          <w:sz w:val="22"/>
          <w:szCs w:val="22"/>
          <w:lang w:val="en-US"/>
        </w:rPr>
        <w:t>)</w:t>
      </w:r>
    </w:p>
    <w:p w:rsidR="00871D4F" w:rsidRPr="00E8386D" w:rsidRDefault="00871D4F" w:rsidP="00871D4F">
      <w:pPr>
        <w:rPr>
          <w:rFonts w:asciiTheme="minorHAnsi" w:hAnsiTheme="minorHAnsi"/>
          <w:sz w:val="22"/>
          <w:szCs w:val="22"/>
          <w:lang w:val="en-US"/>
        </w:rPr>
      </w:pPr>
      <w:r w:rsidRPr="00E8386D">
        <w:rPr>
          <w:rFonts w:asciiTheme="minorHAnsi" w:hAnsiTheme="minorHAnsi"/>
          <w:sz w:val="22"/>
          <w:szCs w:val="22"/>
          <w:lang w:val="en-US"/>
        </w:rPr>
        <w:t>*</w:t>
      </w:r>
      <w:proofErr w:type="spellStart"/>
      <w:r w:rsidRPr="00E8386D">
        <w:rPr>
          <w:rFonts w:asciiTheme="minorHAnsi" w:hAnsiTheme="minorHAnsi"/>
          <w:sz w:val="22"/>
          <w:szCs w:val="22"/>
          <w:lang w:val="en-US"/>
        </w:rPr>
        <w:t>Národný</w:t>
      </w:r>
      <w:proofErr w:type="spellEnd"/>
      <w:r w:rsidRPr="00E8386D">
        <w:rPr>
          <w:rFonts w:asciiTheme="minorHAnsi" w:hAnsiTheme="minorHAnsi"/>
          <w:sz w:val="22"/>
          <w:szCs w:val="22"/>
          <w:lang w:val="en-US"/>
        </w:rPr>
        <w:t xml:space="preserve"> program </w:t>
      </w:r>
      <w:proofErr w:type="spellStart"/>
      <w:r w:rsidRPr="00E8386D">
        <w:rPr>
          <w:rFonts w:asciiTheme="minorHAnsi" w:hAnsiTheme="minorHAnsi"/>
          <w:sz w:val="22"/>
          <w:szCs w:val="22"/>
          <w:lang w:val="en-US"/>
        </w:rPr>
        <w:t>reforiem</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Slovenskej</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republiky</w:t>
      </w:r>
      <w:proofErr w:type="spellEnd"/>
      <w:r w:rsidRPr="00E8386D">
        <w:rPr>
          <w:rFonts w:asciiTheme="minorHAnsi" w:hAnsiTheme="minorHAnsi"/>
          <w:sz w:val="22"/>
          <w:szCs w:val="22"/>
          <w:lang w:val="en-US"/>
        </w:rPr>
        <w:t xml:space="preserve"> 2013, Slovak Government</w:t>
      </w:r>
      <w:r w:rsidR="00E8386D">
        <w:rPr>
          <w:rFonts w:asciiTheme="minorHAnsi" w:hAnsiTheme="minorHAnsi"/>
          <w:sz w:val="22"/>
          <w:szCs w:val="22"/>
          <w:lang w:val="en-US"/>
        </w:rPr>
        <w:t xml:space="preserve"> (</w:t>
      </w:r>
      <w:r w:rsidRPr="00E8386D">
        <w:rPr>
          <w:rFonts w:asciiTheme="minorHAnsi" w:hAnsiTheme="minorHAnsi"/>
          <w:sz w:val="22"/>
          <w:szCs w:val="22"/>
          <w:lang w:val="en-US"/>
        </w:rPr>
        <w:t xml:space="preserve">National Reform </w:t>
      </w:r>
      <w:proofErr w:type="spellStart"/>
      <w:r w:rsidRPr="00E8386D">
        <w:rPr>
          <w:rFonts w:asciiTheme="minorHAnsi" w:hAnsiTheme="minorHAnsi"/>
          <w:sz w:val="22"/>
          <w:szCs w:val="22"/>
          <w:lang w:val="en-US"/>
        </w:rPr>
        <w:t>Programme</w:t>
      </w:r>
      <w:proofErr w:type="spellEnd"/>
      <w:r w:rsidRPr="00E8386D">
        <w:rPr>
          <w:rFonts w:asciiTheme="minorHAnsi" w:hAnsiTheme="minorHAnsi"/>
          <w:sz w:val="22"/>
          <w:szCs w:val="22"/>
          <w:lang w:val="en-US"/>
        </w:rPr>
        <w:t xml:space="preserve"> of the Slovak Republic 2013</w:t>
      </w:r>
      <w:r w:rsidR="00E8386D">
        <w:rPr>
          <w:rFonts w:asciiTheme="minorHAnsi" w:hAnsiTheme="minorHAnsi"/>
          <w:sz w:val="22"/>
          <w:szCs w:val="22"/>
          <w:lang w:val="en-US"/>
        </w:rPr>
        <w:t>)</w:t>
      </w:r>
    </w:p>
    <w:p w:rsidR="00871D4F" w:rsidRPr="00E8386D" w:rsidRDefault="00871D4F" w:rsidP="00871D4F">
      <w:pPr>
        <w:rPr>
          <w:rFonts w:asciiTheme="minorHAnsi" w:hAnsiTheme="minorHAnsi"/>
          <w:sz w:val="22"/>
          <w:szCs w:val="22"/>
          <w:lang w:val="en-US"/>
        </w:rPr>
      </w:pPr>
      <w:r w:rsidRPr="00E8386D">
        <w:rPr>
          <w:rFonts w:asciiTheme="minorHAnsi" w:hAnsiTheme="minorHAnsi"/>
          <w:sz w:val="22"/>
          <w:szCs w:val="22"/>
          <w:lang w:val="en-US"/>
        </w:rPr>
        <w:t>*</w:t>
      </w:r>
      <w:proofErr w:type="spellStart"/>
      <w:r w:rsidRPr="00E8386D">
        <w:rPr>
          <w:rFonts w:asciiTheme="minorHAnsi" w:hAnsiTheme="minorHAnsi"/>
          <w:sz w:val="22"/>
          <w:szCs w:val="22"/>
          <w:lang w:val="en-US"/>
        </w:rPr>
        <w:t>Národný</w:t>
      </w:r>
      <w:proofErr w:type="spellEnd"/>
      <w:r w:rsidRPr="00E8386D">
        <w:rPr>
          <w:rFonts w:asciiTheme="minorHAnsi" w:hAnsiTheme="minorHAnsi"/>
          <w:sz w:val="22"/>
          <w:szCs w:val="22"/>
          <w:lang w:val="en-US"/>
        </w:rPr>
        <w:t xml:space="preserve"> program </w:t>
      </w:r>
      <w:proofErr w:type="spellStart"/>
      <w:r w:rsidRPr="00E8386D">
        <w:rPr>
          <w:rFonts w:asciiTheme="minorHAnsi" w:hAnsiTheme="minorHAnsi"/>
          <w:sz w:val="22"/>
          <w:szCs w:val="22"/>
          <w:lang w:val="en-US"/>
        </w:rPr>
        <w:t>reforiem</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Slovenskej</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republiky</w:t>
      </w:r>
      <w:proofErr w:type="spellEnd"/>
      <w:r w:rsidRPr="00E8386D">
        <w:rPr>
          <w:rFonts w:asciiTheme="minorHAnsi" w:hAnsiTheme="minorHAnsi"/>
          <w:sz w:val="22"/>
          <w:szCs w:val="22"/>
          <w:lang w:val="en-US"/>
        </w:rPr>
        <w:t xml:space="preserve"> 2014, Slovak Government</w:t>
      </w:r>
      <w:r w:rsidR="00E8386D">
        <w:rPr>
          <w:rFonts w:asciiTheme="minorHAnsi" w:hAnsiTheme="minorHAnsi"/>
          <w:sz w:val="22"/>
          <w:szCs w:val="22"/>
          <w:lang w:val="en-US"/>
        </w:rPr>
        <w:t xml:space="preserve"> (</w:t>
      </w:r>
      <w:r w:rsidRPr="00E8386D">
        <w:rPr>
          <w:rFonts w:asciiTheme="minorHAnsi" w:hAnsiTheme="minorHAnsi"/>
          <w:sz w:val="22"/>
          <w:szCs w:val="22"/>
          <w:lang w:val="en-US"/>
        </w:rPr>
        <w:t xml:space="preserve">National Reform </w:t>
      </w:r>
      <w:proofErr w:type="spellStart"/>
      <w:r w:rsidRPr="00E8386D">
        <w:rPr>
          <w:rFonts w:asciiTheme="minorHAnsi" w:hAnsiTheme="minorHAnsi"/>
          <w:sz w:val="22"/>
          <w:szCs w:val="22"/>
          <w:lang w:val="en-US"/>
        </w:rPr>
        <w:t>Programme</w:t>
      </w:r>
      <w:proofErr w:type="spellEnd"/>
      <w:r w:rsidRPr="00E8386D">
        <w:rPr>
          <w:rFonts w:asciiTheme="minorHAnsi" w:hAnsiTheme="minorHAnsi"/>
          <w:sz w:val="22"/>
          <w:szCs w:val="22"/>
          <w:lang w:val="en-US"/>
        </w:rPr>
        <w:t xml:space="preserve"> of the Slovak Republic 2014</w:t>
      </w:r>
      <w:r w:rsidR="00E8386D">
        <w:rPr>
          <w:rFonts w:asciiTheme="minorHAnsi" w:hAnsiTheme="minorHAnsi"/>
          <w:sz w:val="22"/>
          <w:szCs w:val="22"/>
          <w:lang w:val="en-US"/>
        </w:rPr>
        <w:t>)</w:t>
      </w:r>
    </w:p>
    <w:p w:rsidR="00871D4F" w:rsidRPr="00E8386D" w:rsidRDefault="00871D4F" w:rsidP="00871D4F">
      <w:pPr>
        <w:rPr>
          <w:rFonts w:asciiTheme="minorHAnsi" w:hAnsiTheme="minorHAnsi"/>
          <w:sz w:val="22"/>
          <w:szCs w:val="22"/>
          <w:lang w:val="en-US"/>
        </w:rPr>
      </w:pPr>
      <w:r w:rsidRPr="00E8386D">
        <w:rPr>
          <w:rFonts w:asciiTheme="minorHAnsi" w:hAnsiTheme="minorHAnsi"/>
          <w:sz w:val="22"/>
          <w:szCs w:val="22"/>
          <w:lang w:val="en-US"/>
        </w:rPr>
        <w:t>*</w:t>
      </w:r>
      <w:proofErr w:type="spellStart"/>
      <w:r w:rsidRPr="00E8386D">
        <w:rPr>
          <w:rFonts w:asciiTheme="minorHAnsi" w:hAnsiTheme="minorHAnsi"/>
          <w:sz w:val="22"/>
          <w:szCs w:val="22"/>
          <w:lang w:val="en-US"/>
        </w:rPr>
        <w:t>Operačný</w:t>
      </w:r>
      <w:proofErr w:type="spellEnd"/>
      <w:r w:rsidRPr="00E8386D">
        <w:rPr>
          <w:rFonts w:asciiTheme="minorHAnsi" w:hAnsiTheme="minorHAnsi"/>
          <w:sz w:val="22"/>
          <w:szCs w:val="22"/>
          <w:lang w:val="en-US"/>
        </w:rPr>
        <w:t xml:space="preserve"> program </w:t>
      </w:r>
      <w:proofErr w:type="spellStart"/>
      <w:r w:rsidRPr="00E8386D">
        <w:rPr>
          <w:rFonts w:asciiTheme="minorHAnsi" w:hAnsiTheme="minorHAnsi"/>
          <w:sz w:val="22"/>
          <w:szCs w:val="22"/>
          <w:lang w:val="en-US"/>
        </w:rPr>
        <w:t>Ľudské</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zdroje</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na</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programové</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obdobie</w:t>
      </w:r>
      <w:proofErr w:type="spellEnd"/>
      <w:r w:rsidRPr="00E8386D">
        <w:rPr>
          <w:rFonts w:asciiTheme="minorHAnsi" w:hAnsiTheme="minorHAnsi"/>
          <w:sz w:val="22"/>
          <w:szCs w:val="22"/>
          <w:lang w:val="en-US"/>
        </w:rPr>
        <w:t xml:space="preserve"> 2014-2020</w:t>
      </w:r>
      <w:proofErr w:type="gramStart"/>
      <w:r w:rsidRPr="00E8386D">
        <w:rPr>
          <w:rFonts w:asciiTheme="minorHAnsi" w:hAnsiTheme="minorHAnsi"/>
          <w:sz w:val="22"/>
          <w:szCs w:val="22"/>
          <w:lang w:val="en-US"/>
        </w:rPr>
        <w:t xml:space="preserve">,  </w:t>
      </w:r>
      <w:r w:rsidR="00E8386D" w:rsidRPr="00E8386D">
        <w:rPr>
          <w:rFonts w:asciiTheme="minorHAnsi" w:hAnsiTheme="minorHAnsi"/>
          <w:sz w:val="22"/>
          <w:szCs w:val="22"/>
          <w:lang w:val="en-US"/>
        </w:rPr>
        <w:t>Ministry</w:t>
      </w:r>
      <w:proofErr w:type="gramEnd"/>
      <w:r w:rsidR="00E8386D" w:rsidRPr="00E8386D">
        <w:rPr>
          <w:rFonts w:asciiTheme="minorHAnsi" w:hAnsiTheme="minorHAnsi"/>
          <w:sz w:val="22"/>
          <w:szCs w:val="22"/>
          <w:lang w:val="en-US"/>
        </w:rPr>
        <w:t xml:space="preserve"> of </w:t>
      </w:r>
      <w:proofErr w:type="spellStart"/>
      <w:r w:rsidR="00E8386D" w:rsidRPr="00E8386D">
        <w:rPr>
          <w:rFonts w:asciiTheme="minorHAnsi" w:hAnsiTheme="minorHAnsi"/>
          <w:sz w:val="22"/>
          <w:szCs w:val="22"/>
          <w:lang w:val="en-US"/>
        </w:rPr>
        <w:t>Labour</w:t>
      </w:r>
      <w:proofErr w:type="spellEnd"/>
      <w:r w:rsidR="00E8386D" w:rsidRPr="00E8386D">
        <w:rPr>
          <w:rFonts w:asciiTheme="minorHAnsi" w:hAnsiTheme="minorHAnsi"/>
          <w:sz w:val="22"/>
          <w:szCs w:val="22"/>
          <w:lang w:val="en-US"/>
        </w:rPr>
        <w:t>, Social Affairs and Family of SR</w:t>
      </w:r>
      <w:r w:rsidR="00E8386D">
        <w:rPr>
          <w:rFonts w:asciiTheme="minorHAnsi" w:hAnsiTheme="minorHAnsi"/>
          <w:sz w:val="22"/>
          <w:szCs w:val="22"/>
          <w:lang w:val="en-US"/>
        </w:rPr>
        <w:t xml:space="preserve"> (</w:t>
      </w:r>
      <w:r w:rsidRPr="00E8386D">
        <w:rPr>
          <w:rFonts w:asciiTheme="minorHAnsi" w:hAnsiTheme="minorHAnsi"/>
          <w:sz w:val="22"/>
          <w:szCs w:val="22"/>
          <w:lang w:val="en-US"/>
        </w:rPr>
        <w:t xml:space="preserve">Operational </w:t>
      </w:r>
      <w:proofErr w:type="spellStart"/>
      <w:r w:rsidRPr="00E8386D">
        <w:rPr>
          <w:rFonts w:asciiTheme="minorHAnsi" w:hAnsiTheme="minorHAnsi"/>
          <w:sz w:val="22"/>
          <w:szCs w:val="22"/>
          <w:lang w:val="en-US"/>
        </w:rPr>
        <w:t>Programme</w:t>
      </w:r>
      <w:proofErr w:type="spellEnd"/>
      <w:r w:rsidRPr="00E8386D">
        <w:rPr>
          <w:rFonts w:asciiTheme="minorHAnsi" w:hAnsiTheme="minorHAnsi"/>
          <w:sz w:val="22"/>
          <w:szCs w:val="22"/>
          <w:lang w:val="en-US"/>
        </w:rPr>
        <w:t xml:space="preserve"> Human Resource</w:t>
      </w:r>
      <w:r w:rsidR="00E8386D">
        <w:rPr>
          <w:rFonts w:asciiTheme="minorHAnsi" w:hAnsiTheme="minorHAnsi"/>
          <w:sz w:val="22"/>
          <w:szCs w:val="22"/>
          <w:lang w:val="en-US"/>
        </w:rPr>
        <w:t>s, Programming Period 2014-2020)</w:t>
      </w:r>
    </w:p>
    <w:p w:rsidR="00871D4F" w:rsidRPr="00E8386D" w:rsidRDefault="00871D4F" w:rsidP="00871D4F">
      <w:pPr>
        <w:rPr>
          <w:rFonts w:asciiTheme="minorHAnsi" w:hAnsiTheme="minorHAnsi"/>
          <w:sz w:val="22"/>
          <w:szCs w:val="22"/>
          <w:lang w:val="en-US"/>
        </w:rPr>
      </w:pPr>
      <w:r w:rsidRPr="00E8386D">
        <w:rPr>
          <w:rFonts w:asciiTheme="minorHAnsi" w:hAnsiTheme="minorHAnsi"/>
          <w:sz w:val="22"/>
          <w:szCs w:val="22"/>
          <w:lang w:val="en-US"/>
        </w:rPr>
        <w:t>*Opera</w:t>
      </w:r>
      <w:r w:rsidRPr="00E8386D">
        <w:rPr>
          <w:rFonts w:asciiTheme="minorHAnsi" w:hAnsiTheme="minorHAnsi"/>
          <w:sz w:val="22"/>
          <w:szCs w:val="22"/>
          <w:lang w:val="sk-SK"/>
        </w:rPr>
        <w:t>č</w:t>
      </w:r>
      <w:proofErr w:type="spellStart"/>
      <w:r w:rsidRPr="00E8386D">
        <w:rPr>
          <w:rFonts w:asciiTheme="minorHAnsi" w:hAnsiTheme="minorHAnsi"/>
          <w:sz w:val="22"/>
          <w:szCs w:val="22"/>
          <w:lang w:val="en-US"/>
        </w:rPr>
        <w:t>ný</w:t>
      </w:r>
      <w:proofErr w:type="spellEnd"/>
      <w:r w:rsidRPr="00E8386D">
        <w:rPr>
          <w:rFonts w:asciiTheme="minorHAnsi" w:hAnsiTheme="minorHAnsi"/>
          <w:sz w:val="22"/>
          <w:szCs w:val="22"/>
          <w:lang w:val="en-US"/>
        </w:rPr>
        <w:t xml:space="preserve"> program </w:t>
      </w:r>
      <w:proofErr w:type="spellStart"/>
      <w:r w:rsidRPr="00E8386D">
        <w:rPr>
          <w:rFonts w:asciiTheme="minorHAnsi" w:hAnsiTheme="minorHAnsi"/>
          <w:sz w:val="22"/>
          <w:szCs w:val="22"/>
          <w:lang w:val="en-US"/>
        </w:rPr>
        <w:t>vzdelávanie</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programové</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obdobie</w:t>
      </w:r>
      <w:proofErr w:type="spellEnd"/>
      <w:r w:rsidRPr="00E8386D">
        <w:rPr>
          <w:rFonts w:asciiTheme="minorHAnsi" w:hAnsiTheme="minorHAnsi"/>
          <w:sz w:val="22"/>
          <w:szCs w:val="22"/>
          <w:lang w:val="en-US"/>
        </w:rPr>
        <w:t xml:space="preserve"> 2014-2020, </w:t>
      </w:r>
      <w:r w:rsidR="00E8386D" w:rsidRPr="00E8386D">
        <w:rPr>
          <w:rFonts w:asciiTheme="minorHAnsi" w:hAnsiTheme="minorHAnsi"/>
          <w:sz w:val="22"/>
          <w:szCs w:val="22"/>
          <w:lang w:val="en-US"/>
        </w:rPr>
        <w:t xml:space="preserve">Ministry of Education, Science, Research and Sport SR </w:t>
      </w:r>
      <w:r w:rsidR="00E8386D">
        <w:rPr>
          <w:rFonts w:asciiTheme="minorHAnsi" w:hAnsiTheme="minorHAnsi"/>
          <w:sz w:val="22"/>
          <w:szCs w:val="22"/>
          <w:lang w:val="en-US"/>
        </w:rPr>
        <w:t>(</w:t>
      </w:r>
      <w:r w:rsidRPr="00E8386D">
        <w:rPr>
          <w:rFonts w:asciiTheme="minorHAnsi" w:hAnsiTheme="minorHAnsi"/>
          <w:sz w:val="22"/>
          <w:szCs w:val="22"/>
          <w:lang w:val="en-US"/>
        </w:rPr>
        <w:t xml:space="preserve">Operational </w:t>
      </w:r>
      <w:proofErr w:type="spellStart"/>
      <w:r w:rsidRPr="00E8386D">
        <w:rPr>
          <w:rFonts w:asciiTheme="minorHAnsi" w:hAnsiTheme="minorHAnsi"/>
          <w:sz w:val="22"/>
          <w:szCs w:val="22"/>
          <w:lang w:val="en-US"/>
        </w:rPr>
        <w:t>Porgramme</w:t>
      </w:r>
      <w:proofErr w:type="spellEnd"/>
      <w:r w:rsidRPr="00E8386D">
        <w:rPr>
          <w:rFonts w:asciiTheme="minorHAnsi" w:hAnsiTheme="minorHAnsi"/>
          <w:sz w:val="22"/>
          <w:szCs w:val="22"/>
          <w:lang w:val="en-US"/>
        </w:rPr>
        <w:t xml:space="preserve"> Education, Programming Period 2014-2020</w:t>
      </w:r>
      <w:r w:rsidR="00E8386D">
        <w:rPr>
          <w:rFonts w:asciiTheme="minorHAnsi" w:hAnsiTheme="minorHAnsi"/>
          <w:sz w:val="22"/>
          <w:szCs w:val="22"/>
          <w:lang w:val="en-US"/>
        </w:rPr>
        <w:t>)</w:t>
      </w:r>
      <w:r w:rsidRPr="00E8386D">
        <w:rPr>
          <w:rFonts w:asciiTheme="minorHAnsi" w:hAnsiTheme="minorHAnsi"/>
          <w:sz w:val="22"/>
          <w:szCs w:val="22"/>
          <w:lang w:val="en-US"/>
        </w:rPr>
        <w:t xml:space="preserve"> </w:t>
      </w:r>
    </w:p>
    <w:p w:rsidR="00871D4F" w:rsidRPr="00E8386D" w:rsidRDefault="00871D4F" w:rsidP="00871D4F">
      <w:pPr>
        <w:rPr>
          <w:rFonts w:asciiTheme="minorHAnsi" w:hAnsiTheme="minorHAnsi"/>
          <w:sz w:val="22"/>
          <w:szCs w:val="22"/>
          <w:lang w:val="en-US"/>
        </w:rPr>
      </w:pPr>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Sústava</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škôl</w:t>
      </w:r>
      <w:proofErr w:type="spellEnd"/>
      <w:r w:rsidRPr="00E8386D">
        <w:rPr>
          <w:rFonts w:asciiTheme="minorHAnsi" w:hAnsiTheme="minorHAnsi"/>
          <w:sz w:val="22"/>
          <w:szCs w:val="22"/>
          <w:lang w:val="en-US"/>
        </w:rPr>
        <w:t xml:space="preserve"> a </w:t>
      </w:r>
      <w:proofErr w:type="spellStart"/>
      <w:r w:rsidRPr="00E8386D">
        <w:rPr>
          <w:rFonts w:asciiTheme="minorHAnsi" w:hAnsiTheme="minorHAnsi"/>
          <w:sz w:val="22"/>
          <w:szCs w:val="22"/>
          <w:lang w:val="en-US"/>
        </w:rPr>
        <w:t>školských</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zariadení</w:t>
      </w:r>
      <w:proofErr w:type="spellEnd"/>
      <w:r w:rsidRPr="00E8386D">
        <w:rPr>
          <w:rFonts w:asciiTheme="minorHAnsi" w:hAnsiTheme="minorHAnsi"/>
          <w:sz w:val="22"/>
          <w:szCs w:val="22"/>
          <w:lang w:val="en-US"/>
        </w:rPr>
        <w:t xml:space="preserve"> </w:t>
      </w:r>
      <w:proofErr w:type="spellStart"/>
      <w:proofErr w:type="gramStart"/>
      <w:r w:rsidRPr="00E8386D">
        <w:rPr>
          <w:rFonts w:asciiTheme="minorHAnsi" w:hAnsiTheme="minorHAnsi"/>
          <w:sz w:val="22"/>
          <w:szCs w:val="22"/>
          <w:lang w:val="en-US"/>
        </w:rPr>
        <w:t>na</w:t>
      </w:r>
      <w:proofErr w:type="spellEnd"/>
      <w:proofErr w:type="gram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Slovensku</w:t>
      </w:r>
      <w:proofErr w:type="spellEnd"/>
      <w:r w:rsidRPr="00E8386D">
        <w:rPr>
          <w:rFonts w:asciiTheme="minorHAnsi" w:hAnsiTheme="minorHAnsi"/>
          <w:sz w:val="22"/>
          <w:szCs w:val="22"/>
          <w:lang w:val="en-US"/>
        </w:rPr>
        <w:t>, Ministry of Education SR, 2014</w:t>
      </w:r>
      <w:r w:rsidR="00E8386D">
        <w:rPr>
          <w:rFonts w:asciiTheme="minorHAnsi" w:hAnsiTheme="minorHAnsi"/>
          <w:sz w:val="22"/>
          <w:szCs w:val="22"/>
          <w:lang w:val="en-US"/>
        </w:rPr>
        <w:t xml:space="preserve"> (</w:t>
      </w:r>
      <w:r w:rsidRPr="00E8386D">
        <w:rPr>
          <w:rFonts w:asciiTheme="minorHAnsi" w:hAnsiTheme="minorHAnsi"/>
          <w:sz w:val="22"/>
          <w:szCs w:val="22"/>
          <w:lang w:val="en-US"/>
        </w:rPr>
        <w:t>Schools and School Facilities i</w:t>
      </w:r>
      <w:r w:rsidR="00E8386D">
        <w:rPr>
          <w:rFonts w:asciiTheme="minorHAnsi" w:hAnsiTheme="minorHAnsi"/>
          <w:sz w:val="22"/>
          <w:szCs w:val="22"/>
          <w:lang w:val="en-US"/>
        </w:rPr>
        <w:t>n Slovakia)</w:t>
      </w:r>
    </w:p>
    <w:p w:rsidR="00871D4F" w:rsidRPr="00E8386D" w:rsidRDefault="00871D4F" w:rsidP="00871D4F">
      <w:pPr>
        <w:rPr>
          <w:rFonts w:asciiTheme="minorHAnsi" w:hAnsiTheme="minorHAnsi"/>
          <w:sz w:val="22"/>
          <w:szCs w:val="22"/>
          <w:lang w:val="en-US"/>
        </w:rPr>
      </w:pPr>
      <w:r w:rsidRPr="00E8386D">
        <w:rPr>
          <w:rFonts w:asciiTheme="minorHAnsi" w:hAnsiTheme="minorHAnsi"/>
          <w:sz w:val="22"/>
          <w:szCs w:val="22"/>
          <w:lang w:val="en-US"/>
        </w:rPr>
        <w:t>*</w:t>
      </w:r>
      <w:proofErr w:type="spellStart"/>
      <w:r w:rsidRPr="00E8386D">
        <w:rPr>
          <w:rFonts w:asciiTheme="minorHAnsi" w:hAnsiTheme="minorHAnsi"/>
          <w:sz w:val="22"/>
          <w:szCs w:val="22"/>
          <w:lang w:val="en-US"/>
        </w:rPr>
        <w:t>Plán</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hospodárskeho</w:t>
      </w:r>
      <w:proofErr w:type="spellEnd"/>
      <w:r w:rsidRPr="00E8386D">
        <w:rPr>
          <w:rFonts w:asciiTheme="minorHAnsi" w:hAnsiTheme="minorHAnsi"/>
          <w:sz w:val="22"/>
          <w:szCs w:val="22"/>
          <w:lang w:val="en-US"/>
        </w:rPr>
        <w:t xml:space="preserve"> a </w:t>
      </w:r>
      <w:proofErr w:type="spellStart"/>
      <w:r w:rsidRPr="00E8386D">
        <w:rPr>
          <w:rFonts w:asciiTheme="minorHAnsi" w:hAnsiTheme="minorHAnsi"/>
          <w:sz w:val="22"/>
          <w:szCs w:val="22"/>
          <w:lang w:val="en-US"/>
        </w:rPr>
        <w:t>sociálneho</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rozvoja</w:t>
      </w:r>
      <w:proofErr w:type="spellEnd"/>
      <w:r w:rsidRPr="00E8386D">
        <w:rPr>
          <w:rFonts w:asciiTheme="minorHAnsi" w:hAnsiTheme="minorHAnsi"/>
          <w:sz w:val="22"/>
          <w:szCs w:val="22"/>
          <w:lang w:val="en-US"/>
        </w:rPr>
        <w:t xml:space="preserve"> BSK 2014-2020</w:t>
      </w:r>
      <w:r w:rsidR="00E8386D">
        <w:rPr>
          <w:rFonts w:asciiTheme="minorHAnsi" w:hAnsiTheme="minorHAnsi"/>
          <w:sz w:val="22"/>
          <w:szCs w:val="22"/>
          <w:lang w:val="en-US"/>
        </w:rPr>
        <w:t xml:space="preserve"> (</w:t>
      </w:r>
      <w:r w:rsidRPr="00E8386D">
        <w:rPr>
          <w:rFonts w:asciiTheme="minorHAnsi" w:hAnsiTheme="minorHAnsi"/>
          <w:sz w:val="22"/>
          <w:szCs w:val="22"/>
          <w:lang w:val="en-US"/>
        </w:rPr>
        <w:t>Plan of Economic and Social Development of Brat</w:t>
      </w:r>
      <w:r w:rsidR="00E8386D">
        <w:rPr>
          <w:rFonts w:asciiTheme="minorHAnsi" w:hAnsiTheme="minorHAnsi"/>
          <w:sz w:val="22"/>
          <w:szCs w:val="22"/>
          <w:lang w:val="en-US"/>
        </w:rPr>
        <w:t>islava Region</w:t>
      </w:r>
      <w:r w:rsidRPr="00E8386D">
        <w:rPr>
          <w:rFonts w:asciiTheme="minorHAnsi" w:hAnsiTheme="minorHAnsi"/>
          <w:sz w:val="22"/>
          <w:szCs w:val="22"/>
          <w:lang w:val="en-US"/>
        </w:rPr>
        <w:t xml:space="preserve"> 2014-2020</w:t>
      </w:r>
      <w:r w:rsidR="00E8386D">
        <w:rPr>
          <w:rFonts w:asciiTheme="minorHAnsi" w:hAnsiTheme="minorHAnsi"/>
          <w:sz w:val="22"/>
          <w:szCs w:val="22"/>
          <w:lang w:val="en-US"/>
        </w:rPr>
        <w:t>)</w:t>
      </w:r>
      <w:r w:rsidRPr="00E8386D">
        <w:rPr>
          <w:rFonts w:asciiTheme="minorHAnsi" w:hAnsiTheme="minorHAnsi"/>
          <w:sz w:val="22"/>
          <w:szCs w:val="22"/>
          <w:lang w:val="en-US"/>
        </w:rPr>
        <w:t xml:space="preserve"> </w:t>
      </w:r>
    </w:p>
    <w:p w:rsidR="00871D4F" w:rsidRPr="00E8386D" w:rsidRDefault="00871D4F" w:rsidP="00871D4F">
      <w:pPr>
        <w:rPr>
          <w:rFonts w:asciiTheme="minorHAnsi" w:hAnsiTheme="minorHAnsi"/>
          <w:sz w:val="22"/>
          <w:szCs w:val="22"/>
          <w:lang w:val="en-US"/>
        </w:rPr>
      </w:pPr>
      <w:r w:rsidRPr="00E8386D">
        <w:rPr>
          <w:rFonts w:asciiTheme="minorHAnsi" w:hAnsiTheme="minorHAnsi"/>
          <w:sz w:val="22"/>
          <w:szCs w:val="22"/>
          <w:lang w:val="en-US"/>
        </w:rPr>
        <w:t>*</w:t>
      </w:r>
      <w:proofErr w:type="spellStart"/>
      <w:r w:rsidRPr="00E8386D">
        <w:rPr>
          <w:rFonts w:asciiTheme="minorHAnsi" w:hAnsiTheme="minorHAnsi"/>
          <w:sz w:val="22"/>
          <w:szCs w:val="22"/>
          <w:lang w:val="en-US"/>
        </w:rPr>
        <w:t>Inovačná</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stratégia</w:t>
      </w:r>
      <w:proofErr w:type="spellEnd"/>
      <w:r w:rsidRPr="00E8386D">
        <w:rPr>
          <w:rFonts w:asciiTheme="minorHAnsi" w:hAnsiTheme="minorHAnsi"/>
          <w:sz w:val="22"/>
          <w:szCs w:val="22"/>
          <w:lang w:val="en-US"/>
        </w:rPr>
        <w:t xml:space="preserve"> BSK, 2014</w:t>
      </w:r>
      <w:r w:rsidR="00E8386D">
        <w:rPr>
          <w:rFonts w:asciiTheme="minorHAnsi" w:hAnsiTheme="minorHAnsi"/>
          <w:sz w:val="22"/>
          <w:szCs w:val="22"/>
          <w:lang w:val="en-US"/>
        </w:rPr>
        <w:t xml:space="preserve"> (</w:t>
      </w:r>
      <w:r w:rsidRPr="00E8386D">
        <w:rPr>
          <w:rFonts w:asciiTheme="minorHAnsi" w:hAnsiTheme="minorHAnsi"/>
          <w:sz w:val="22"/>
          <w:szCs w:val="22"/>
          <w:lang w:val="en-US"/>
        </w:rPr>
        <w:t>Innovation Strategy of Bratislava Self-governing Region, 2014</w:t>
      </w:r>
      <w:r w:rsidR="00E8386D">
        <w:rPr>
          <w:rFonts w:asciiTheme="minorHAnsi" w:hAnsiTheme="minorHAnsi"/>
          <w:sz w:val="22"/>
          <w:szCs w:val="22"/>
          <w:lang w:val="en-US"/>
        </w:rPr>
        <w:t>)</w:t>
      </w:r>
    </w:p>
    <w:p w:rsidR="00871D4F" w:rsidRPr="00E8386D" w:rsidRDefault="00871D4F" w:rsidP="00871D4F">
      <w:pPr>
        <w:rPr>
          <w:rFonts w:asciiTheme="minorHAnsi" w:hAnsiTheme="minorHAnsi"/>
          <w:sz w:val="22"/>
          <w:szCs w:val="22"/>
          <w:lang w:val="en-US"/>
        </w:rPr>
      </w:pPr>
      <w:r w:rsidRPr="00E8386D">
        <w:rPr>
          <w:rFonts w:asciiTheme="minorHAnsi" w:hAnsiTheme="minorHAnsi"/>
          <w:sz w:val="22"/>
          <w:szCs w:val="22"/>
          <w:lang w:val="en-US"/>
        </w:rPr>
        <w:t>*</w:t>
      </w:r>
      <w:proofErr w:type="spellStart"/>
      <w:r w:rsidRPr="00E8386D">
        <w:rPr>
          <w:rFonts w:asciiTheme="minorHAnsi" w:hAnsiTheme="minorHAnsi"/>
          <w:sz w:val="22"/>
          <w:szCs w:val="22"/>
          <w:lang w:val="en-US"/>
        </w:rPr>
        <w:t>Regionálna</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stratégia</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výchovy</w:t>
      </w:r>
      <w:proofErr w:type="spellEnd"/>
      <w:r w:rsidRPr="00E8386D">
        <w:rPr>
          <w:rFonts w:asciiTheme="minorHAnsi" w:hAnsiTheme="minorHAnsi"/>
          <w:sz w:val="22"/>
          <w:szCs w:val="22"/>
          <w:lang w:val="en-US"/>
        </w:rPr>
        <w:t xml:space="preserve"> a </w:t>
      </w:r>
      <w:proofErr w:type="spellStart"/>
      <w:r w:rsidRPr="00E8386D">
        <w:rPr>
          <w:rFonts w:asciiTheme="minorHAnsi" w:hAnsiTheme="minorHAnsi"/>
          <w:sz w:val="22"/>
          <w:szCs w:val="22"/>
          <w:lang w:val="en-US"/>
        </w:rPr>
        <w:t>vzdelávania</w:t>
      </w:r>
      <w:proofErr w:type="spellEnd"/>
      <w:r w:rsidRPr="00E8386D">
        <w:rPr>
          <w:rFonts w:asciiTheme="minorHAnsi" w:hAnsiTheme="minorHAnsi"/>
          <w:sz w:val="22"/>
          <w:szCs w:val="22"/>
          <w:lang w:val="en-US"/>
        </w:rPr>
        <w:t xml:space="preserve"> v </w:t>
      </w:r>
      <w:proofErr w:type="spellStart"/>
      <w:r w:rsidRPr="00E8386D">
        <w:rPr>
          <w:rFonts w:asciiTheme="minorHAnsi" w:hAnsiTheme="minorHAnsi"/>
          <w:sz w:val="22"/>
          <w:szCs w:val="22"/>
          <w:lang w:val="en-US"/>
        </w:rPr>
        <w:t>stredných</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školách</w:t>
      </w:r>
      <w:proofErr w:type="spellEnd"/>
      <w:r w:rsidRPr="00E8386D">
        <w:rPr>
          <w:rFonts w:asciiTheme="minorHAnsi" w:hAnsiTheme="minorHAnsi"/>
          <w:sz w:val="22"/>
          <w:szCs w:val="22"/>
          <w:lang w:val="en-US"/>
        </w:rPr>
        <w:t xml:space="preserve"> v BSK </w:t>
      </w:r>
      <w:proofErr w:type="spellStart"/>
      <w:proofErr w:type="gramStart"/>
      <w:r w:rsidRPr="00E8386D">
        <w:rPr>
          <w:rFonts w:asciiTheme="minorHAnsi" w:hAnsiTheme="minorHAnsi"/>
          <w:sz w:val="22"/>
          <w:szCs w:val="22"/>
          <w:lang w:val="en-US"/>
        </w:rPr>
        <w:t>na</w:t>
      </w:r>
      <w:proofErr w:type="spellEnd"/>
      <w:proofErr w:type="gram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roky</w:t>
      </w:r>
      <w:proofErr w:type="spellEnd"/>
      <w:r w:rsidRPr="00E8386D">
        <w:rPr>
          <w:rFonts w:asciiTheme="minorHAnsi" w:hAnsiTheme="minorHAnsi"/>
          <w:sz w:val="22"/>
          <w:szCs w:val="22"/>
          <w:lang w:val="en-US"/>
        </w:rPr>
        <w:t xml:space="preserve"> 2013-2018, </w:t>
      </w:r>
      <w:proofErr w:type="spellStart"/>
      <w:r w:rsidRPr="00E8386D">
        <w:rPr>
          <w:rFonts w:asciiTheme="minorHAnsi" w:hAnsiTheme="minorHAnsi"/>
          <w:sz w:val="22"/>
          <w:szCs w:val="22"/>
          <w:lang w:val="en-US"/>
        </w:rPr>
        <w:t>aktualizácia</w:t>
      </w:r>
      <w:proofErr w:type="spellEnd"/>
      <w:r w:rsidRPr="00E8386D">
        <w:rPr>
          <w:rFonts w:asciiTheme="minorHAnsi" w:hAnsiTheme="minorHAnsi"/>
          <w:sz w:val="22"/>
          <w:szCs w:val="22"/>
          <w:lang w:val="en-US"/>
        </w:rPr>
        <w:t xml:space="preserve"> 2014</w:t>
      </w:r>
      <w:r w:rsidR="00E8386D">
        <w:rPr>
          <w:rFonts w:asciiTheme="minorHAnsi" w:hAnsiTheme="minorHAnsi"/>
          <w:sz w:val="22"/>
          <w:szCs w:val="22"/>
          <w:lang w:val="en-US"/>
        </w:rPr>
        <w:t xml:space="preserve"> (</w:t>
      </w:r>
      <w:r w:rsidRPr="00E8386D">
        <w:rPr>
          <w:rFonts w:asciiTheme="minorHAnsi" w:hAnsiTheme="minorHAnsi"/>
          <w:sz w:val="22"/>
          <w:szCs w:val="22"/>
          <w:lang w:val="en-US"/>
        </w:rPr>
        <w:t>Regional Strategy of Education at High Schools in B</w:t>
      </w:r>
      <w:r w:rsidR="00E8386D">
        <w:rPr>
          <w:rFonts w:asciiTheme="minorHAnsi" w:hAnsiTheme="minorHAnsi"/>
          <w:sz w:val="22"/>
          <w:szCs w:val="22"/>
          <w:lang w:val="en-US"/>
        </w:rPr>
        <w:t xml:space="preserve">ratislava </w:t>
      </w:r>
      <w:r w:rsidRPr="00E8386D">
        <w:rPr>
          <w:rFonts w:asciiTheme="minorHAnsi" w:hAnsiTheme="minorHAnsi"/>
          <w:sz w:val="22"/>
          <w:szCs w:val="22"/>
          <w:lang w:val="en-US"/>
        </w:rPr>
        <w:t>SGR for the period 2013-2018</w:t>
      </w:r>
      <w:r w:rsidR="00E8386D">
        <w:rPr>
          <w:rFonts w:asciiTheme="minorHAnsi" w:hAnsiTheme="minorHAnsi"/>
          <w:sz w:val="22"/>
          <w:szCs w:val="22"/>
          <w:lang w:val="en-US"/>
        </w:rPr>
        <w:t>, updated in 2014)</w:t>
      </w:r>
    </w:p>
    <w:p w:rsidR="00871D4F" w:rsidRPr="00E8386D" w:rsidRDefault="00871D4F" w:rsidP="00871D4F">
      <w:pPr>
        <w:rPr>
          <w:rFonts w:asciiTheme="minorHAnsi" w:hAnsiTheme="minorHAnsi"/>
          <w:sz w:val="22"/>
          <w:szCs w:val="22"/>
          <w:lang w:val="en-US"/>
        </w:rPr>
      </w:pPr>
      <w:r w:rsidRPr="00E8386D">
        <w:rPr>
          <w:rFonts w:asciiTheme="minorHAnsi" w:hAnsiTheme="minorHAnsi"/>
          <w:sz w:val="22"/>
          <w:szCs w:val="22"/>
          <w:lang w:val="en-US"/>
        </w:rPr>
        <w:t>*</w:t>
      </w:r>
      <w:proofErr w:type="spellStart"/>
      <w:r w:rsidRPr="00E8386D">
        <w:rPr>
          <w:rFonts w:asciiTheme="minorHAnsi" w:hAnsiTheme="minorHAnsi"/>
          <w:sz w:val="22"/>
          <w:szCs w:val="22"/>
          <w:lang w:val="en-US"/>
        </w:rPr>
        <w:t>Plán</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hospodárskeho</w:t>
      </w:r>
      <w:proofErr w:type="spellEnd"/>
      <w:r w:rsidRPr="00E8386D">
        <w:rPr>
          <w:rFonts w:asciiTheme="minorHAnsi" w:hAnsiTheme="minorHAnsi"/>
          <w:sz w:val="22"/>
          <w:szCs w:val="22"/>
          <w:lang w:val="en-US"/>
        </w:rPr>
        <w:t xml:space="preserve"> a </w:t>
      </w:r>
      <w:proofErr w:type="spellStart"/>
      <w:r w:rsidRPr="00E8386D">
        <w:rPr>
          <w:rFonts w:asciiTheme="minorHAnsi" w:hAnsiTheme="minorHAnsi"/>
          <w:sz w:val="22"/>
          <w:szCs w:val="22"/>
          <w:lang w:val="en-US"/>
        </w:rPr>
        <w:t>sociálneho</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rozvoja</w:t>
      </w:r>
      <w:proofErr w:type="spellEnd"/>
      <w:r w:rsidRPr="00E8386D">
        <w:rPr>
          <w:rFonts w:asciiTheme="minorHAnsi" w:hAnsiTheme="minorHAnsi"/>
          <w:sz w:val="22"/>
          <w:szCs w:val="22"/>
          <w:lang w:val="en-US"/>
        </w:rPr>
        <w:t xml:space="preserve"> PSK 2008-2015</w:t>
      </w:r>
      <w:r w:rsidR="00E8386D">
        <w:rPr>
          <w:rFonts w:asciiTheme="minorHAnsi" w:hAnsiTheme="minorHAnsi"/>
          <w:sz w:val="22"/>
          <w:szCs w:val="22"/>
          <w:lang w:val="en-US"/>
        </w:rPr>
        <w:t xml:space="preserve"> (</w:t>
      </w:r>
      <w:r w:rsidRPr="00E8386D">
        <w:rPr>
          <w:rFonts w:asciiTheme="minorHAnsi" w:hAnsiTheme="minorHAnsi"/>
          <w:sz w:val="22"/>
          <w:szCs w:val="22"/>
          <w:lang w:val="en-US"/>
        </w:rPr>
        <w:t xml:space="preserve">Plan of Economic and Social Development of </w:t>
      </w:r>
      <w:proofErr w:type="spellStart"/>
      <w:r w:rsidRPr="00E8386D">
        <w:rPr>
          <w:rFonts w:asciiTheme="minorHAnsi" w:hAnsiTheme="minorHAnsi"/>
          <w:sz w:val="22"/>
          <w:szCs w:val="22"/>
          <w:lang w:val="en-US"/>
        </w:rPr>
        <w:t>Presov</w:t>
      </w:r>
      <w:proofErr w:type="spellEnd"/>
      <w:r w:rsidRPr="00E8386D">
        <w:rPr>
          <w:rFonts w:asciiTheme="minorHAnsi" w:hAnsiTheme="minorHAnsi"/>
          <w:sz w:val="22"/>
          <w:szCs w:val="22"/>
          <w:lang w:val="en-US"/>
        </w:rPr>
        <w:t xml:space="preserve"> </w:t>
      </w:r>
      <w:r w:rsidR="00E8386D">
        <w:rPr>
          <w:rFonts w:asciiTheme="minorHAnsi" w:hAnsiTheme="minorHAnsi"/>
          <w:sz w:val="22"/>
          <w:szCs w:val="22"/>
          <w:lang w:val="en-US"/>
        </w:rPr>
        <w:t xml:space="preserve">SGR 2008-2015, updated 2010) </w:t>
      </w:r>
    </w:p>
    <w:p w:rsidR="00871D4F" w:rsidRPr="00E8386D" w:rsidRDefault="00871D4F" w:rsidP="00871D4F">
      <w:pPr>
        <w:rPr>
          <w:rFonts w:asciiTheme="minorHAnsi" w:hAnsiTheme="minorHAnsi"/>
          <w:sz w:val="22"/>
          <w:szCs w:val="22"/>
          <w:lang w:val="en-US"/>
        </w:rPr>
      </w:pPr>
    </w:p>
    <w:p w:rsidR="00871D4F" w:rsidRPr="00E8386D" w:rsidRDefault="00771808" w:rsidP="00871D4F">
      <w:pPr>
        <w:rPr>
          <w:rFonts w:asciiTheme="minorHAnsi" w:hAnsiTheme="minorHAnsi"/>
          <w:sz w:val="22"/>
          <w:szCs w:val="22"/>
          <w:lang w:val="en-US"/>
        </w:rPr>
      </w:pPr>
      <w:r w:rsidRPr="00771808">
        <w:rPr>
          <w:rFonts w:asciiTheme="minorHAnsi" w:hAnsiTheme="minorHAnsi"/>
          <w:sz w:val="22"/>
          <w:szCs w:val="22"/>
          <w:u w:val="single"/>
          <w:lang w:val="en-US"/>
        </w:rPr>
        <w:t>Websites</w:t>
      </w:r>
    </w:p>
    <w:p w:rsidR="00771808" w:rsidRDefault="00771808" w:rsidP="00871D4F">
      <w:pPr>
        <w:rPr>
          <w:rFonts w:asciiTheme="minorHAnsi" w:hAnsiTheme="minorHAnsi"/>
          <w:sz w:val="22"/>
          <w:szCs w:val="22"/>
          <w:lang w:val="en-US"/>
        </w:rPr>
      </w:pPr>
      <w:r>
        <w:rPr>
          <w:rFonts w:asciiTheme="minorHAnsi" w:hAnsiTheme="minorHAnsi"/>
          <w:sz w:val="22"/>
          <w:szCs w:val="22"/>
          <w:lang w:val="en-US"/>
        </w:rPr>
        <w:t>*</w:t>
      </w:r>
      <w:proofErr w:type="spellStart"/>
      <w:r>
        <w:rPr>
          <w:rFonts w:asciiTheme="minorHAnsi" w:hAnsiTheme="minorHAnsi"/>
          <w:sz w:val="22"/>
          <w:szCs w:val="22"/>
          <w:lang w:val="en-US"/>
        </w:rPr>
        <w:t>Ministerstvo</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školstva</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vedy</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výskumu</w:t>
      </w:r>
      <w:proofErr w:type="spellEnd"/>
      <w:r>
        <w:rPr>
          <w:rFonts w:asciiTheme="minorHAnsi" w:hAnsiTheme="minorHAnsi"/>
          <w:sz w:val="22"/>
          <w:szCs w:val="22"/>
          <w:lang w:val="en-US"/>
        </w:rPr>
        <w:t xml:space="preserve"> a </w:t>
      </w:r>
      <w:proofErr w:type="spellStart"/>
      <w:r>
        <w:rPr>
          <w:rFonts w:asciiTheme="minorHAnsi" w:hAnsiTheme="minorHAnsi"/>
          <w:sz w:val="22"/>
          <w:szCs w:val="22"/>
          <w:lang w:val="en-US"/>
        </w:rPr>
        <w:t>športu</w:t>
      </w:r>
      <w:proofErr w:type="spellEnd"/>
      <w:r>
        <w:rPr>
          <w:rFonts w:asciiTheme="minorHAnsi" w:hAnsiTheme="minorHAnsi"/>
          <w:sz w:val="22"/>
          <w:szCs w:val="22"/>
          <w:lang w:val="en-US"/>
        </w:rPr>
        <w:t xml:space="preserve"> SR (</w:t>
      </w:r>
      <w:r w:rsidRPr="00E8386D">
        <w:rPr>
          <w:rFonts w:asciiTheme="minorHAnsi" w:hAnsiTheme="minorHAnsi"/>
          <w:sz w:val="22"/>
          <w:szCs w:val="22"/>
          <w:lang w:val="en-US"/>
        </w:rPr>
        <w:t>Ministry of Education, Science, Research and Sport SR</w:t>
      </w:r>
      <w:r>
        <w:rPr>
          <w:rFonts w:asciiTheme="minorHAnsi" w:hAnsiTheme="minorHAnsi"/>
          <w:sz w:val="22"/>
          <w:szCs w:val="22"/>
          <w:lang w:val="en-US"/>
        </w:rPr>
        <w:t xml:space="preserve">) </w:t>
      </w:r>
      <w:hyperlink r:id="rId10" w:history="1">
        <w:r w:rsidRPr="00713871">
          <w:rPr>
            <w:rStyle w:val="Hypertextovprepojenie"/>
            <w:rFonts w:asciiTheme="minorHAnsi" w:hAnsiTheme="minorHAnsi"/>
            <w:sz w:val="22"/>
            <w:szCs w:val="22"/>
            <w:lang w:val="en-US"/>
          </w:rPr>
          <w:t>www.minedu.sk</w:t>
        </w:r>
      </w:hyperlink>
      <w:r>
        <w:rPr>
          <w:rFonts w:asciiTheme="minorHAnsi" w:hAnsiTheme="minorHAnsi"/>
          <w:sz w:val="22"/>
          <w:szCs w:val="22"/>
          <w:lang w:val="en-US"/>
        </w:rPr>
        <w:t xml:space="preserve"> </w:t>
      </w:r>
    </w:p>
    <w:p w:rsidR="00871D4F" w:rsidRPr="00E8386D" w:rsidRDefault="00871D4F" w:rsidP="00871D4F">
      <w:pPr>
        <w:rPr>
          <w:rFonts w:asciiTheme="minorHAnsi" w:hAnsiTheme="minorHAnsi"/>
          <w:sz w:val="22"/>
          <w:szCs w:val="22"/>
          <w:lang w:val="en-US"/>
        </w:rPr>
      </w:pPr>
      <w:r w:rsidRPr="00E8386D">
        <w:rPr>
          <w:rFonts w:asciiTheme="minorHAnsi" w:hAnsiTheme="minorHAnsi"/>
          <w:sz w:val="22"/>
          <w:szCs w:val="22"/>
          <w:lang w:val="en-US"/>
        </w:rPr>
        <w:t>*</w:t>
      </w:r>
      <w:proofErr w:type="spellStart"/>
      <w:r w:rsidRPr="00E8386D">
        <w:rPr>
          <w:rFonts w:asciiTheme="minorHAnsi" w:hAnsiTheme="minorHAnsi"/>
          <w:sz w:val="22"/>
          <w:szCs w:val="22"/>
          <w:lang w:val="en-US"/>
        </w:rPr>
        <w:t>Národný</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ústav</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celo</w:t>
      </w:r>
      <w:r w:rsidR="00771808">
        <w:rPr>
          <w:rFonts w:asciiTheme="minorHAnsi" w:hAnsiTheme="minorHAnsi"/>
          <w:sz w:val="22"/>
          <w:szCs w:val="22"/>
          <w:lang w:val="en-US"/>
        </w:rPr>
        <w:t>ž</w:t>
      </w:r>
      <w:r w:rsidRPr="00E8386D">
        <w:rPr>
          <w:rFonts w:asciiTheme="minorHAnsi" w:hAnsiTheme="minorHAnsi"/>
          <w:sz w:val="22"/>
          <w:szCs w:val="22"/>
          <w:lang w:val="en-US"/>
        </w:rPr>
        <w:t>ivotného</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vzdelávania</w:t>
      </w:r>
      <w:proofErr w:type="spellEnd"/>
      <w:r w:rsidRPr="00E8386D">
        <w:rPr>
          <w:rFonts w:asciiTheme="minorHAnsi" w:hAnsiTheme="minorHAnsi"/>
          <w:sz w:val="22"/>
          <w:szCs w:val="22"/>
          <w:lang w:val="en-US"/>
        </w:rPr>
        <w:t xml:space="preserve"> (NÚCŽV</w:t>
      </w:r>
      <w:r w:rsidR="00771808">
        <w:rPr>
          <w:rFonts w:asciiTheme="minorHAnsi" w:hAnsiTheme="minorHAnsi"/>
          <w:sz w:val="22"/>
          <w:szCs w:val="22"/>
          <w:lang w:val="en-US"/>
        </w:rPr>
        <w:t xml:space="preserve">, </w:t>
      </w:r>
      <w:r w:rsidRPr="00E8386D">
        <w:rPr>
          <w:rFonts w:asciiTheme="minorHAnsi" w:hAnsiTheme="minorHAnsi"/>
          <w:sz w:val="22"/>
          <w:szCs w:val="22"/>
          <w:lang w:val="en-US"/>
        </w:rPr>
        <w:t xml:space="preserve">National Lifelong </w:t>
      </w:r>
      <w:r w:rsidR="00771808">
        <w:rPr>
          <w:rFonts w:asciiTheme="minorHAnsi" w:hAnsiTheme="minorHAnsi"/>
          <w:sz w:val="22"/>
          <w:szCs w:val="22"/>
          <w:lang w:val="en-US"/>
        </w:rPr>
        <w:t>L</w:t>
      </w:r>
      <w:r w:rsidRPr="00E8386D">
        <w:rPr>
          <w:rFonts w:asciiTheme="minorHAnsi" w:hAnsiTheme="minorHAnsi"/>
          <w:sz w:val="22"/>
          <w:szCs w:val="22"/>
          <w:lang w:val="en-US"/>
        </w:rPr>
        <w:t>earning</w:t>
      </w:r>
      <w:r w:rsidR="00771808">
        <w:rPr>
          <w:rFonts w:asciiTheme="minorHAnsi" w:hAnsiTheme="minorHAnsi"/>
          <w:sz w:val="22"/>
          <w:szCs w:val="22"/>
          <w:lang w:val="en-US"/>
        </w:rPr>
        <w:t xml:space="preserve"> Institute)</w:t>
      </w:r>
    </w:p>
    <w:p w:rsidR="00871D4F" w:rsidRPr="00E8386D" w:rsidRDefault="003E5AC9" w:rsidP="00871D4F">
      <w:pPr>
        <w:rPr>
          <w:rFonts w:asciiTheme="minorHAnsi" w:hAnsiTheme="minorHAnsi"/>
          <w:sz w:val="22"/>
          <w:szCs w:val="22"/>
          <w:lang w:val="en-US"/>
        </w:rPr>
      </w:pPr>
      <w:hyperlink r:id="rId11" w:history="1">
        <w:r w:rsidR="00871D4F" w:rsidRPr="00E8386D">
          <w:rPr>
            <w:rStyle w:val="Hypertextovprepojenie"/>
            <w:rFonts w:asciiTheme="minorHAnsi" w:hAnsiTheme="minorHAnsi"/>
            <w:sz w:val="22"/>
            <w:szCs w:val="22"/>
            <w:lang w:val="en-US"/>
          </w:rPr>
          <w:t>www.nuczv.sk</w:t>
        </w:r>
      </w:hyperlink>
    </w:p>
    <w:p w:rsidR="00771808" w:rsidRDefault="00871D4F" w:rsidP="00871D4F">
      <w:pPr>
        <w:rPr>
          <w:rFonts w:asciiTheme="minorHAnsi" w:hAnsiTheme="minorHAnsi"/>
          <w:sz w:val="22"/>
          <w:szCs w:val="22"/>
          <w:lang w:val="en-US"/>
        </w:rPr>
      </w:pPr>
      <w:r w:rsidRPr="00E8386D">
        <w:rPr>
          <w:rFonts w:asciiTheme="minorHAnsi" w:hAnsiTheme="minorHAnsi"/>
          <w:sz w:val="22"/>
          <w:szCs w:val="22"/>
          <w:lang w:val="en-US"/>
        </w:rPr>
        <w:t>*</w:t>
      </w:r>
      <w:proofErr w:type="spellStart"/>
      <w:r w:rsidR="000F5259" w:rsidRPr="000F5259">
        <w:rPr>
          <w:rFonts w:asciiTheme="minorHAnsi" w:hAnsiTheme="minorHAnsi"/>
          <w:sz w:val="22"/>
          <w:szCs w:val="22"/>
          <w:lang w:val="en-US"/>
        </w:rPr>
        <w:t>Slovenská</w:t>
      </w:r>
      <w:proofErr w:type="spellEnd"/>
      <w:r w:rsidR="000F5259" w:rsidRPr="000F5259">
        <w:rPr>
          <w:rFonts w:asciiTheme="minorHAnsi" w:hAnsiTheme="minorHAnsi"/>
          <w:sz w:val="22"/>
          <w:szCs w:val="22"/>
          <w:lang w:val="en-US"/>
        </w:rPr>
        <w:t xml:space="preserve"> </w:t>
      </w:r>
      <w:proofErr w:type="spellStart"/>
      <w:r w:rsidR="000F5259" w:rsidRPr="000F5259">
        <w:rPr>
          <w:rFonts w:asciiTheme="minorHAnsi" w:hAnsiTheme="minorHAnsi"/>
          <w:sz w:val="22"/>
          <w:szCs w:val="22"/>
          <w:lang w:val="en-US"/>
        </w:rPr>
        <w:t>akademická</w:t>
      </w:r>
      <w:proofErr w:type="spellEnd"/>
      <w:r w:rsidR="000F5259" w:rsidRPr="000F5259">
        <w:rPr>
          <w:rFonts w:asciiTheme="minorHAnsi" w:hAnsiTheme="minorHAnsi"/>
          <w:sz w:val="22"/>
          <w:szCs w:val="22"/>
          <w:lang w:val="en-US"/>
        </w:rPr>
        <w:t xml:space="preserve"> </w:t>
      </w:r>
      <w:proofErr w:type="spellStart"/>
      <w:r w:rsidR="000F5259" w:rsidRPr="000F5259">
        <w:rPr>
          <w:rFonts w:asciiTheme="minorHAnsi" w:hAnsiTheme="minorHAnsi"/>
          <w:sz w:val="22"/>
          <w:szCs w:val="22"/>
          <w:lang w:val="en-US"/>
        </w:rPr>
        <w:t>asociácia</w:t>
      </w:r>
      <w:proofErr w:type="spellEnd"/>
      <w:r w:rsidR="000F5259" w:rsidRPr="000F5259">
        <w:rPr>
          <w:rFonts w:asciiTheme="minorHAnsi" w:hAnsiTheme="minorHAnsi"/>
          <w:sz w:val="22"/>
          <w:szCs w:val="22"/>
          <w:lang w:val="en-US"/>
        </w:rPr>
        <w:t xml:space="preserve"> pre </w:t>
      </w:r>
      <w:proofErr w:type="spellStart"/>
      <w:r w:rsidR="000F5259" w:rsidRPr="000F5259">
        <w:rPr>
          <w:rFonts w:asciiTheme="minorHAnsi" w:hAnsiTheme="minorHAnsi"/>
          <w:sz w:val="22"/>
          <w:szCs w:val="22"/>
          <w:lang w:val="en-US"/>
        </w:rPr>
        <w:t>medzinárodnú</w:t>
      </w:r>
      <w:proofErr w:type="spellEnd"/>
      <w:r w:rsidR="000F5259" w:rsidRPr="000F5259">
        <w:rPr>
          <w:rFonts w:asciiTheme="minorHAnsi" w:hAnsiTheme="minorHAnsi"/>
          <w:sz w:val="22"/>
          <w:szCs w:val="22"/>
          <w:lang w:val="en-US"/>
        </w:rPr>
        <w:t xml:space="preserve"> </w:t>
      </w:r>
      <w:proofErr w:type="spellStart"/>
      <w:r w:rsidR="000F5259" w:rsidRPr="000F5259">
        <w:rPr>
          <w:rFonts w:asciiTheme="minorHAnsi" w:hAnsiTheme="minorHAnsi"/>
          <w:sz w:val="22"/>
          <w:szCs w:val="22"/>
          <w:lang w:val="en-US"/>
        </w:rPr>
        <w:t>spoluprácu</w:t>
      </w:r>
      <w:proofErr w:type="spellEnd"/>
      <w:r w:rsidR="000F5259">
        <w:rPr>
          <w:rFonts w:asciiTheme="minorHAnsi" w:hAnsiTheme="minorHAnsi"/>
          <w:sz w:val="22"/>
          <w:szCs w:val="22"/>
          <w:lang w:val="en-US"/>
        </w:rPr>
        <w:t xml:space="preserve"> (Slovak Academic Association for International Cooperation) </w:t>
      </w:r>
      <w:hyperlink r:id="rId12" w:history="1">
        <w:r w:rsidR="000F5259" w:rsidRPr="00713871">
          <w:rPr>
            <w:rStyle w:val="Hypertextovprepojenie"/>
            <w:rFonts w:asciiTheme="minorHAnsi" w:hAnsiTheme="minorHAnsi"/>
            <w:sz w:val="22"/>
            <w:szCs w:val="22"/>
            <w:lang w:val="en-US"/>
          </w:rPr>
          <w:t>www.saaic.sk</w:t>
        </w:r>
      </w:hyperlink>
      <w:r w:rsidR="000F5259">
        <w:rPr>
          <w:rFonts w:asciiTheme="minorHAnsi" w:hAnsiTheme="minorHAnsi"/>
          <w:sz w:val="22"/>
          <w:szCs w:val="22"/>
          <w:lang w:val="en-US"/>
        </w:rPr>
        <w:t xml:space="preserve"> </w:t>
      </w:r>
    </w:p>
    <w:p w:rsidR="00871D4F" w:rsidRPr="00E8386D" w:rsidRDefault="00771808" w:rsidP="00871D4F">
      <w:pPr>
        <w:rPr>
          <w:rFonts w:asciiTheme="minorHAnsi" w:hAnsiTheme="minorHAnsi"/>
          <w:sz w:val="22"/>
          <w:szCs w:val="22"/>
          <w:lang w:val="en-US"/>
        </w:rPr>
      </w:pPr>
      <w:r>
        <w:rPr>
          <w:rFonts w:asciiTheme="minorHAnsi" w:hAnsiTheme="minorHAnsi"/>
          <w:sz w:val="22"/>
          <w:szCs w:val="22"/>
          <w:lang w:val="en-US"/>
        </w:rPr>
        <w:t>*</w:t>
      </w:r>
      <w:proofErr w:type="spellStart"/>
      <w:r w:rsidR="00871D4F" w:rsidRPr="00E8386D">
        <w:rPr>
          <w:rFonts w:asciiTheme="minorHAnsi" w:hAnsiTheme="minorHAnsi"/>
          <w:sz w:val="22"/>
          <w:szCs w:val="22"/>
          <w:lang w:val="en-US"/>
        </w:rPr>
        <w:t>Asociácia</w:t>
      </w:r>
      <w:proofErr w:type="spellEnd"/>
      <w:r w:rsidR="00871D4F" w:rsidRPr="00E8386D">
        <w:rPr>
          <w:rFonts w:asciiTheme="minorHAnsi" w:hAnsiTheme="minorHAnsi"/>
          <w:sz w:val="22"/>
          <w:szCs w:val="22"/>
          <w:lang w:val="en-US"/>
        </w:rPr>
        <w:t xml:space="preserve"> </w:t>
      </w:r>
      <w:proofErr w:type="spellStart"/>
      <w:r w:rsidR="00871D4F" w:rsidRPr="00E8386D">
        <w:rPr>
          <w:rFonts w:asciiTheme="minorHAnsi" w:hAnsiTheme="minorHAnsi"/>
          <w:sz w:val="22"/>
          <w:szCs w:val="22"/>
          <w:lang w:val="en-US"/>
        </w:rPr>
        <w:t>inštitúcií</w:t>
      </w:r>
      <w:proofErr w:type="spellEnd"/>
      <w:r w:rsidR="00871D4F" w:rsidRPr="00E8386D">
        <w:rPr>
          <w:rFonts w:asciiTheme="minorHAnsi" w:hAnsiTheme="minorHAnsi"/>
          <w:sz w:val="22"/>
          <w:szCs w:val="22"/>
          <w:lang w:val="en-US"/>
        </w:rPr>
        <w:t xml:space="preserve"> </w:t>
      </w:r>
      <w:proofErr w:type="spellStart"/>
      <w:r w:rsidR="00871D4F" w:rsidRPr="00E8386D">
        <w:rPr>
          <w:rFonts w:asciiTheme="minorHAnsi" w:hAnsiTheme="minorHAnsi"/>
          <w:sz w:val="22"/>
          <w:szCs w:val="22"/>
          <w:lang w:val="en-US"/>
        </w:rPr>
        <w:t>vzdelávania</w:t>
      </w:r>
      <w:proofErr w:type="spellEnd"/>
      <w:r w:rsidR="00871D4F" w:rsidRPr="00E8386D">
        <w:rPr>
          <w:rFonts w:asciiTheme="minorHAnsi" w:hAnsiTheme="minorHAnsi"/>
          <w:sz w:val="22"/>
          <w:szCs w:val="22"/>
          <w:lang w:val="en-US"/>
        </w:rPr>
        <w:t xml:space="preserve"> </w:t>
      </w:r>
      <w:proofErr w:type="spellStart"/>
      <w:r w:rsidR="00871D4F" w:rsidRPr="00E8386D">
        <w:rPr>
          <w:rFonts w:asciiTheme="minorHAnsi" w:hAnsiTheme="minorHAnsi"/>
          <w:sz w:val="22"/>
          <w:szCs w:val="22"/>
          <w:lang w:val="en-US"/>
        </w:rPr>
        <w:t>dospelých</w:t>
      </w:r>
      <w:proofErr w:type="spellEnd"/>
      <w:r>
        <w:rPr>
          <w:rFonts w:asciiTheme="minorHAnsi" w:hAnsiTheme="minorHAnsi"/>
          <w:sz w:val="22"/>
          <w:szCs w:val="22"/>
          <w:lang w:val="en-US"/>
        </w:rPr>
        <w:t xml:space="preserve"> (</w:t>
      </w:r>
      <w:r w:rsidR="00871D4F" w:rsidRPr="00E8386D">
        <w:rPr>
          <w:rFonts w:asciiTheme="minorHAnsi" w:hAnsiTheme="minorHAnsi"/>
          <w:sz w:val="22"/>
          <w:szCs w:val="22"/>
          <w:lang w:val="en-US"/>
        </w:rPr>
        <w:t>Association of Adult Education Institutions</w:t>
      </w:r>
      <w:r>
        <w:rPr>
          <w:rFonts w:asciiTheme="minorHAnsi" w:hAnsiTheme="minorHAnsi"/>
          <w:sz w:val="22"/>
          <w:szCs w:val="22"/>
          <w:lang w:val="en-US"/>
        </w:rPr>
        <w:t>)</w:t>
      </w:r>
    </w:p>
    <w:p w:rsidR="00871D4F" w:rsidRPr="00E8386D" w:rsidRDefault="003E5AC9" w:rsidP="00871D4F">
      <w:pPr>
        <w:rPr>
          <w:rFonts w:asciiTheme="minorHAnsi" w:hAnsiTheme="minorHAnsi"/>
          <w:sz w:val="22"/>
          <w:szCs w:val="22"/>
          <w:lang w:val="en-US"/>
        </w:rPr>
      </w:pPr>
      <w:hyperlink r:id="rId13" w:history="1">
        <w:r w:rsidR="00871D4F" w:rsidRPr="00E8386D">
          <w:rPr>
            <w:rStyle w:val="Hypertextovprepojenie"/>
            <w:rFonts w:asciiTheme="minorHAnsi" w:hAnsiTheme="minorHAnsi"/>
            <w:sz w:val="22"/>
            <w:szCs w:val="22"/>
            <w:lang w:val="en-US"/>
          </w:rPr>
          <w:t>www.aivd.sk</w:t>
        </w:r>
      </w:hyperlink>
    </w:p>
    <w:p w:rsidR="00871D4F" w:rsidRPr="00E8386D" w:rsidRDefault="00871D4F" w:rsidP="00871D4F">
      <w:pPr>
        <w:rPr>
          <w:rFonts w:asciiTheme="minorHAnsi" w:hAnsiTheme="minorHAnsi"/>
          <w:sz w:val="22"/>
          <w:szCs w:val="22"/>
          <w:lang w:val="en-US"/>
        </w:rPr>
      </w:pPr>
      <w:r w:rsidRPr="00E8386D">
        <w:rPr>
          <w:rFonts w:asciiTheme="minorHAnsi" w:hAnsiTheme="minorHAnsi"/>
          <w:sz w:val="22"/>
          <w:szCs w:val="22"/>
          <w:lang w:val="en-US"/>
        </w:rPr>
        <w:t>*</w:t>
      </w:r>
      <w:proofErr w:type="spellStart"/>
      <w:r w:rsidRPr="00E8386D">
        <w:rPr>
          <w:rFonts w:asciiTheme="minorHAnsi" w:hAnsiTheme="minorHAnsi"/>
          <w:sz w:val="22"/>
          <w:szCs w:val="22"/>
          <w:lang w:val="en-US"/>
        </w:rPr>
        <w:t>Národné</w:t>
      </w:r>
      <w:proofErr w:type="spellEnd"/>
      <w:r w:rsidRPr="00E8386D">
        <w:rPr>
          <w:rFonts w:asciiTheme="minorHAnsi" w:hAnsiTheme="minorHAnsi"/>
          <w:sz w:val="22"/>
          <w:szCs w:val="22"/>
          <w:lang w:val="en-US"/>
        </w:rPr>
        <w:t xml:space="preserve"> forum pre </w:t>
      </w:r>
      <w:proofErr w:type="spellStart"/>
      <w:r w:rsidRPr="00E8386D">
        <w:rPr>
          <w:rFonts w:asciiTheme="minorHAnsi" w:hAnsiTheme="minorHAnsi"/>
          <w:sz w:val="22"/>
          <w:szCs w:val="22"/>
          <w:lang w:val="en-US"/>
        </w:rPr>
        <w:t>celoživotné</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poradenstvo</w:t>
      </w:r>
      <w:proofErr w:type="spellEnd"/>
      <w:r w:rsidR="00771808">
        <w:rPr>
          <w:rFonts w:asciiTheme="minorHAnsi" w:hAnsiTheme="minorHAnsi"/>
          <w:sz w:val="22"/>
          <w:szCs w:val="22"/>
          <w:lang w:val="en-US"/>
        </w:rPr>
        <w:t xml:space="preserve"> (</w:t>
      </w:r>
      <w:r w:rsidRPr="00E8386D">
        <w:rPr>
          <w:rFonts w:asciiTheme="minorHAnsi" w:hAnsiTheme="minorHAnsi"/>
          <w:sz w:val="22"/>
          <w:szCs w:val="22"/>
          <w:lang w:val="en-US"/>
        </w:rPr>
        <w:t>Nationa</w:t>
      </w:r>
      <w:r w:rsidR="00771808">
        <w:rPr>
          <w:rFonts w:asciiTheme="minorHAnsi" w:hAnsiTheme="minorHAnsi"/>
          <w:sz w:val="22"/>
          <w:szCs w:val="22"/>
          <w:lang w:val="en-US"/>
        </w:rPr>
        <w:t>l Forum for Lifelong Guidance)</w:t>
      </w:r>
    </w:p>
    <w:p w:rsidR="00871D4F" w:rsidRPr="00E8386D" w:rsidRDefault="003E5AC9" w:rsidP="00871D4F">
      <w:pPr>
        <w:rPr>
          <w:rFonts w:asciiTheme="minorHAnsi" w:hAnsiTheme="minorHAnsi"/>
          <w:sz w:val="22"/>
          <w:szCs w:val="22"/>
          <w:lang w:val="en-US"/>
        </w:rPr>
      </w:pPr>
      <w:hyperlink r:id="rId14" w:history="1">
        <w:r w:rsidR="00871D4F" w:rsidRPr="00E8386D">
          <w:rPr>
            <w:rStyle w:val="Hypertextovprepojenie"/>
            <w:rFonts w:asciiTheme="minorHAnsi" w:hAnsiTheme="minorHAnsi"/>
            <w:sz w:val="22"/>
            <w:szCs w:val="22"/>
            <w:lang w:val="en-US"/>
          </w:rPr>
          <w:t>http://nuczv.sk/narodne-forum-pre-celozivotne-poradenstvo/</w:t>
        </w:r>
      </w:hyperlink>
    </w:p>
    <w:p w:rsidR="00871D4F" w:rsidRPr="00E8386D" w:rsidRDefault="00871D4F" w:rsidP="00871D4F">
      <w:pPr>
        <w:rPr>
          <w:rFonts w:asciiTheme="minorHAnsi" w:hAnsiTheme="minorHAnsi"/>
          <w:sz w:val="22"/>
          <w:szCs w:val="22"/>
          <w:lang w:val="en-US"/>
        </w:rPr>
      </w:pPr>
      <w:r w:rsidRPr="00E8386D">
        <w:rPr>
          <w:rFonts w:asciiTheme="minorHAnsi" w:hAnsiTheme="minorHAnsi"/>
          <w:sz w:val="22"/>
          <w:szCs w:val="22"/>
          <w:lang w:val="en-US"/>
        </w:rPr>
        <w:t>*</w:t>
      </w:r>
      <w:proofErr w:type="spellStart"/>
      <w:r w:rsidRPr="00E8386D">
        <w:rPr>
          <w:rFonts w:asciiTheme="minorHAnsi" w:hAnsiTheme="minorHAnsi"/>
          <w:sz w:val="22"/>
          <w:szCs w:val="22"/>
          <w:lang w:val="en-US"/>
        </w:rPr>
        <w:t>Asociácia</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univerzít</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tretieho</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veku</w:t>
      </w:r>
      <w:proofErr w:type="spellEnd"/>
      <w:r w:rsidRPr="00E8386D">
        <w:rPr>
          <w:rFonts w:asciiTheme="minorHAnsi" w:hAnsiTheme="minorHAnsi"/>
          <w:sz w:val="22"/>
          <w:szCs w:val="22"/>
          <w:lang w:val="en-US"/>
        </w:rPr>
        <w:t xml:space="preserve"> </w:t>
      </w:r>
      <w:proofErr w:type="spellStart"/>
      <w:proofErr w:type="gramStart"/>
      <w:r w:rsidRPr="00E8386D">
        <w:rPr>
          <w:rFonts w:asciiTheme="minorHAnsi" w:hAnsiTheme="minorHAnsi"/>
          <w:sz w:val="22"/>
          <w:szCs w:val="22"/>
          <w:lang w:val="en-US"/>
        </w:rPr>
        <w:t>na</w:t>
      </w:r>
      <w:proofErr w:type="spellEnd"/>
      <w:proofErr w:type="gram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Slovensku</w:t>
      </w:r>
      <w:proofErr w:type="spellEnd"/>
      <w:r w:rsidR="00771808">
        <w:rPr>
          <w:rFonts w:asciiTheme="minorHAnsi" w:hAnsiTheme="minorHAnsi"/>
          <w:sz w:val="22"/>
          <w:szCs w:val="22"/>
          <w:lang w:val="en-US"/>
        </w:rPr>
        <w:t xml:space="preserve"> (</w:t>
      </w:r>
      <w:r w:rsidRPr="00E8386D">
        <w:rPr>
          <w:rFonts w:asciiTheme="minorHAnsi" w:hAnsiTheme="minorHAnsi"/>
          <w:sz w:val="22"/>
          <w:szCs w:val="22"/>
          <w:lang w:val="en-US"/>
        </w:rPr>
        <w:t>Association of Universities of the Third-age in Slovakia</w:t>
      </w:r>
      <w:r w:rsidR="00771808">
        <w:rPr>
          <w:rFonts w:asciiTheme="minorHAnsi" w:hAnsiTheme="minorHAnsi"/>
          <w:sz w:val="22"/>
          <w:szCs w:val="22"/>
          <w:lang w:val="en-US"/>
        </w:rPr>
        <w:t>)</w:t>
      </w:r>
    </w:p>
    <w:p w:rsidR="00871D4F" w:rsidRPr="00E8386D" w:rsidRDefault="003E5AC9" w:rsidP="00871D4F">
      <w:pPr>
        <w:rPr>
          <w:rFonts w:asciiTheme="minorHAnsi" w:hAnsiTheme="minorHAnsi"/>
          <w:sz w:val="22"/>
          <w:szCs w:val="22"/>
        </w:rPr>
      </w:pPr>
      <w:hyperlink r:id="rId15" w:history="1">
        <w:r w:rsidR="00871D4F" w:rsidRPr="00E8386D">
          <w:rPr>
            <w:rStyle w:val="Hypertextovprepojenie"/>
            <w:rFonts w:asciiTheme="minorHAnsi" w:hAnsiTheme="minorHAnsi"/>
            <w:sz w:val="22"/>
            <w:szCs w:val="22"/>
            <w:lang w:val="en-US"/>
          </w:rPr>
          <w:t>www.asutv.sk</w:t>
        </w:r>
      </w:hyperlink>
    </w:p>
    <w:p w:rsidR="00871D4F" w:rsidRPr="00E8386D" w:rsidRDefault="00871D4F" w:rsidP="00871D4F">
      <w:pPr>
        <w:rPr>
          <w:rFonts w:asciiTheme="minorHAnsi" w:hAnsiTheme="minorHAnsi"/>
          <w:sz w:val="22"/>
          <w:szCs w:val="22"/>
        </w:rPr>
      </w:pPr>
      <w:r w:rsidRPr="00E8386D">
        <w:rPr>
          <w:rFonts w:asciiTheme="minorHAnsi" w:hAnsiTheme="minorHAnsi"/>
          <w:sz w:val="22"/>
          <w:szCs w:val="22"/>
        </w:rPr>
        <w:t>*Slovenský štatistický úrad</w:t>
      </w:r>
      <w:r w:rsidR="00771808">
        <w:rPr>
          <w:rFonts w:asciiTheme="minorHAnsi" w:hAnsiTheme="minorHAnsi"/>
          <w:sz w:val="22"/>
          <w:szCs w:val="22"/>
        </w:rPr>
        <w:t xml:space="preserve"> (</w:t>
      </w:r>
      <w:r w:rsidRPr="00E8386D">
        <w:rPr>
          <w:rFonts w:asciiTheme="minorHAnsi" w:hAnsiTheme="minorHAnsi"/>
          <w:sz w:val="22"/>
          <w:szCs w:val="22"/>
        </w:rPr>
        <w:t>Slovak Statistical Office</w:t>
      </w:r>
      <w:r w:rsidR="00771808">
        <w:rPr>
          <w:rFonts w:asciiTheme="minorHAnsi" w:hAnsiTheme="minorHAnsi"/>
          <w:sz w:val="22"/>
          <w:szCs w:val="22"/>
        </w:rPr>
        <w:t>)</w:t>
      </w:r>
    </w:p>
    <w:p w:rsidR="00871D4F" w:rsidRPr="00E8386D" w:rsidRDefault="003E5AC9" w:rsidP="00871D4F">
      <w:pPr>
        <w:rPr>
          <w:rFonts w:asciiTheme="minorHAnsi" w:hAnsiTheme="minorHAnsi"/>
          <w:sz w:val="22"/>
          <w:szCs w:val="22"/>
        </w:rPr>
      </w:pPr>
      <w:hyperlink r:id="rId16" w:history="1">
        <w:r w:rsidR="00871D4F" w:rsidRPr="00E8386D">
          <w:rPr>
            <w:rStyle w:val="Hypertextovprepojenie"/>
            <w:rFonts w:asciiTheme="minorHAnsi" w:hAnsiTheme="minorHAnsi"/>
            <w:sz w:val="22"/>
            <w:szCs w:val="22"/>
          </w:rPr>
          <w:t>http://Slovak.statistics.sk</w:t>
        </w:r>
      </w:hyperlink>
    </w:p>
    <w:p w:rsidR="00871D4F" w:rsidRPr="00E8386D" w:rsidRDefault="00871D4F" w:rsidP="00871D4F">
      <w:pPr>
        <w:rPr>
          <w:rFonts w:asciiTheme="minorHAnsi" w:hAnsiTheme="minorHAnsi"/>
          <w:sz w:val="22"/>
          <w:szCs w:val="22"/>
        </w:rPr>
      </w:pPr>
    </w:p>
    <w:p w:rsidR="00871D4F" w:rsidRPr="00E8386D" w:rsidRDefault="00871D4F" w:rsidP="00871D4F">
      <w:pPr>
        <w:rPr>
          <w:rFonts w:asciiTheme="minorHAnsi" w:hAnsiTheme="minorHAnsi"/>
          <w:sz w:val="22"/>
          <w:szCs w:val="22"/>
          <w:lang w:val="en-US"/>
        </w:rPr>
      </w:pPr>
    </w:p>
    <w:p w:rsidR="00771808" w:rsidRDefault="00771808" w:rsidP="00771808">
      <w:pPr>
        <w:rPr>
          <w:rFonts w:asciiTheme="minorHAnsi" w:hAnsiTheme="minorHAnsi"/>
          <w:sz w:val="22"/>
          <w:szCs w:val="22"/>
          <w:lang w:val="en-US"/>
        </w:rPr>
      </w:pPr>
      <w:r w:rsidRPr="00771808">
        <w:rPr>
          <w:rFonts w:asciiTheme="minorHAnsi" w:hAnsiTheme="minorHAnsi"/>
          <w:sz w:val="22"/>
          <w:szCs w:val="22"/>
          <w:u w:val="single"/>
          <w:lang w:val="en-US"/>
        </w:rPr>
        <w:t>Projects</w:t>
      </w:r>
    </w:p>
    <w:p w:rsidR="00771808" w:rsidRPr="00E8386D" w:rsidRDefault="00771808" w:rsidP="00771808">
      <w:pPr>
        <w:rPr>
          <w:rFonts w:asciiTheme="minorHAnsi" w:hAnsiTheme="minorHAnsi"/>
          <w:sz w:val="22"/>
          <w:szCs w:val="22"/>
          <w:lang w:val="en-US"/>
        </w:rPr>
      </w:pPr>
      <w:r w:rsidRPr="00E8386D">
        <w:rPr>
          <w:rFonts w:asciiTheme="minorHAnsi" w:hAnsiTheme="minorHAnsi"/>
          <w:sz w:val="22"/>
          <w:szCs w:val="22"/>
          <w:lang w:val="en-US"/>
        </w:rPr>
        <w:t>*</w:t>
      </w:r>
      <w:proofErr w:type="spellStart"/>
      <w:r w:rsidRPr="00E8386D">
        <w:rPr>
          <w:rFonts w:asciiTheme="minorHAnsi" w:hAnsiTheme="minorHAnsi"/>
          <w:sz w:val="22"/>
          <w:szCs w:val="22"/>
          <w:lang w:val="en-US"/>
        </w:rPr>
        <w:t>Národný</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proje</w:t>
      </w:r>
      <w:r>
        <w:rPr>
          <w:rFonts w:asciiTheme="minorHAnsi" w:hAnsiTheme="minorHAnsi"/>
          <w:sz w:val="22"/>
          <w:szCs w:val="22"/>
          <w:lang w:val="en-US"/>
        </w:rPr>
        <w:t>k</w:t>
      </w:r>
      <w:r w:rsidRPr="00E8386D">
        <w:rPr>
          <w:rFonts w:asciiTheme="minorHAnsi" w:hAnsiTheme="minorHAnsi"/>
          <w:sz w:val="22"/>
          <w:szCs w:val="22"/>
          <w:lang w:val="en-US"/>
        </w:rPr>
        <w:t>t</w:t>
      </w:r>
      <w:proofErr w:type="spellEnd"/>
      <w:r w:rsidRPr="00E8386D">
        <w:rPr>
          <w:rFonts w:asciiTheme="minorHAnsi" w:hAnsiTheme="minorHAnsi"/>
          <w:sz w:val="22"/>
          <w:szCs w:val="22"/>
          <w:lang w:val="en-US"/>
        </w:rPr>
        <w:t xml:space="preserve"> - </w:t>
      </w:r>
      <w:proofErr w:type="spellStart"/>
      <w:r w:rsidRPr="00E8386D">
        <w:rPr>
          <w:rFonts w:asciiTheme="minorHAnsi" w:hAnsiTheme="minorHAnsi"/>
          <w:sz w:val="22"/>
          <w:szCs w:val="22"/>
          <w:lang w:val="en-US"/>
        </w:rPr>
        <w:t>Ďalšie</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vzdelávani</w:t>
      </w:r>
      <w:r>
        <w:rPr>
          <w:rFonts w:asciiTheme="minorHAnsi" w:hAnsiTheme="minorHAnsi"/>
          <w:sz w:val="22"/>
          <w:szCs w:val="22"/>
          <w:lang w:val="en-US"/>
        </w:rPr>
        <w:t>e</w:t>
      </w:r>
      <w:proofErr w:type="spellEnd"/>
      <w:r w:rsidRPr="00E8386D">
        <w:rPr>
          <w:rFonts w:asciiTheme="minorHAnsi" w:hAnsiTheme="minorHAnsi"/>
          <w:sz w:val="22"/>
          <w:szCs w:val="22"/>
          <w:lang w:val="en-US"/>
        </w:rPr>
        <w:t xml:space="preserve"> a </w:t>
      </w:r>
      <w:proofErr w:type="spellStart"/>
      <w:r w:rsidRPr="00E8386D">
        <w:rPr>
          <w:rFonts w:asciiTheme="minorHAnsi" w:hAnsiTheme="minorHAnsi"/>
          <w:sz w:val="22"/>
          <w:szCs w:val="22"/>
          <w:lang w:val="en-US"/>
        </w:rPr>
        <w:t>poradenstv</w:t>
      </w:r>
      <w:r>
        <w:rPr>
          <w:rFonts w:asciiTheme="minorHAnsi" w:hAnsiTheme="minorHAnsi"/>
          <w:sz w:val="22"/>
          <w:szCs w:val="22"/>
          <w:lang w:val="en-US"/>
        </w:rPr>
        <w:t>o</w:t>
      </w:r>
      <w:r w:rsidRPr="00E8386D">
        <w:rPr>
          <w:rFonts w:asciiTheme="minorHAnsi" w:hAnsiTheme="minorHAnsi"/>
          <w:sz w:val="22"/>
          <w:szCs w:val="22"/>
          <w:lang w:val="en-US"/>
        </w:rPr>
        <w:t>a</w:t>
      </w:r>
      <w:proofErr w:type="spellEnd"/>
      <w:r w:rsidRPr="00E8386D">
        <w:rPr>
          <w:rFonts w:asciiTheme="minorHAnsi" w:hAnsiTheme="minorHAnsi"/>
          <w:sz w:val="22"/>
          <w:szCs w:val="22"/>
          <w:lang w:val="en-US"/>
        </w:rPr>
        <w:t xml:space="preserve"> pre </w:t>
      </w:r>
      <w:proofErr w:type="spellStart"/>
      <w:r w:rsidRPr="00E8386D">
        <w:rPr>
          <w:rFonts w:asciiTheme="minorHAnsi" w:hAnsiTheme="minorHAnsi"/>
          <w:sz w:val="22"/>
          <w:szCs w:val="22"/>
          <w:lang w:val="en-US"/>
        </w:rPr>
        <w:t>dospelých</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ako</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nástroj</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lepšej</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uplatniteľnosti</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na</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trhu</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práce</w:t>
      </w:r>
      <w:proofErr w:type="spellEnd"/>
      <w:r>
        <w:rPr>
          <w:rFonts w:asciiTheme="minorHAnsi" w:hAnsiTheme="minorHAnsi"/>
          <w:sz w:val="22"/>
          <w:szCs w:val="22"/>
          <w:lang w:val="en-US"/>
        </w:rPr>
        <w:t>, National Lifelong Learning Institute  (</w:t>
      </w:r>
      <w:r w:rsidRPr="00E8386D">
        <w:rPr>
          <w:rFonts w:asciiTheme="minorHAnsi" w:hAnsiTheme="minorHAnsi"/>
          <w:sz w:val="22"/>
          <w:szCs w:val="22"/>
          <w:lang w:val="en-US"/>
        </w:rPr>
        <w:t xml:space="preserve">National Project </w:t>
      </w:r>
      <w:r>
        <w:rPr>
          <w:rFonts w:asciiTheme="minorHAnsi" w:hAnsiTheme="minorHAnsi"/>
          <w:sz w:val="22"/>
          <w:szCs w:val="22"/>
          <w:lang w:val="en-US"/>
        </w:rPr>
        <w:t xml:space="preserve">- </w:t>
      </w:r>
      <w:r w:rsidRPr="00E8386D">
        <w:rPr>
          <w:rFonts w:asciiTheme="minorHAnsi" w:hAnsiTheme="minorHAnsi" w:cs="Tahoma"/>
          <w:sz w:val="22"/>
          <w:szCs w:val="22"/>
          <w:lang w:val="en-GB"/>
        </w:rPr>
        <w:t>Further Education and Guidance for Adults as a Tool of Better Employability</w:t>
      </w:r>
      <w:hyperlink r:id="rId17" w:history="1"/>
      <w:r w:rsidRPr="00E8386D">
        <w:rPr>
          <w:rFonts w:asciiTheme="minorHAnsi" w:hAnsiTheme="minorHAnsi" w:cs="Tahoma"/>
          <w:sz w:val="22"/>
          <w:szCs w:val="22"/>
          <w:lang w:val="en-GB"/>
        </w:rPr>
        <w:t xml:space="preserve"> on the Labour Market</w:t>
      </w:r>
      <w:r>
        <w:rPr>
          <w:rFonts w:asciiTheme="minorHAnsi" w:hAnsiTheme="minorHAnsi" w:cs="Tahoma"/>
          <w:sz w:val="22"/>
          <w:szCs w:val="22"/>
          <w:lang w:val="en-GB"/>
        </w:rPr>
        <w:t>)</w:t>
      </w:r>
    </w:p>
    <w:p w:rsidR="00771808" w:rsidRPr="00E8386D" w:rsidRDefault="003E5AC9" w:rsidP="00771808">
      <w:pPr>
        <w:rPr>
          <w:rFonts w:asciiTheme="minorHAnsi" w:hAnsiTheme="minorHAnsi"/>
          <w:sz w:val="22"/>
          <w:szCs w:val="22"/>
          <w:lang w:val="en-US"/>
        </w:rPr>
      </w:pPr>
      <w:hyperlink r:id="rId18" w:history="1">
        <w:r w:rsidR="00771808" w:rsidRPr="00E8386D">
          <w:rPr>
            <w:rStyle w:val="Hypertextovprepojenie"/>
            <w:rFonts w:asciiTheme="minorHAnsi" w:hAnsiTheme="minorHAnsi"/>
            <w:sz w:val="22"/>
            <w:szCs w:val="22"/>
            <w:lang w:val="en-US"/>
          </w:rPr>
          <w:t>http://nuczv.sk/projekty/dalsie-vzdelavanie-a-poradenstvo-pre-dospelych-ako-nastroj-lepsej-uplatnitelnosti-na-trhu-prace/</w:t>
        </w:r>
      </w:hyperlink>
    </w:p>
    <w:p w:rsidR="00771808" w:rsidRDefault="00771808" w:rsidP="00771808">
      <w:pPr>
        <w:rPr>
          <w:rFonts w:asciiTheme="minorHAnsi" w:hAnsiTheme="minorHAnsi"/>
          <w:sz w:val="22"/>
          <w:szCs w:val="22"/>
          <w:lang w:val="en-US"/>
        </w:rPr>
      </w:pPr>
      <w:r w:rsidRPr="00E8386D">
        <w:rPr>
          <w:rFonts w:asciiTheme="minorHAnsi" w:hAnsiTheme="minorHAnsi"/>
          <w:sz w:val="22"/>
          <w:szCs w:val="22"/>
          <w:lang w:val="en-US"/>
        </w:rPr>
        <w:t>*</w:t>
      </w:r>
      <w:proofErr w:type="spellStart"/>
      <w:r w:rsidRPr="00E8386D">
        <w:rPr>
          <w:rFonts w:asciiTheme="minorHAnsi" w:hAnsiTheme="minorHAnsi"/>
          <w:sz w:val="22"/>
          <w:szCs w:val="22"/>
          <w:lang w:val="en-US"/>
        </w:rPr>
        <w:t>Národný</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proje</w:t>
      </w:r>
      <w:r>
        <w:rPr>
          <w:rFonts w:asciiTheme="minorHAnsi" w:hAnsiTheme="minorHAnsi"/>
          <w:sz w:val="22"/>
          <w:szCs w:val="22"/>
          <w:lang w:val="en-US"/>
        </w:rPr>
        <w:t>k</w:t>
      </w:r>
      <w:r w:rsidRPr="00E8386D">
        <w:rPr>
          <w:rFonts w:asciiTheme="minorHAnsi" w:hAnsiTheme="minorHAnsi"/>
          <w:sz w:val="22"/>
          <w:szCs w:val="22"/>
          <w:lang w:val="en-US"/>
        </w:rPr>
        <w:t>t</w:t>
      </w:r>
      <w:proofErr w:type="spellEnd"/>
      <w:r w:rsidRPr="00E8386D">
        <w:rPr>
          <w:rFonts w:asciiTheme="minorHAnsi" w:hAnsiTheme="minorHAnsi"/>
          <w:sz w:val="22"/>
          <w:szCs w:val="22"/>
          <w:lang w:val="en-US"/>
        </w:rPr>
        <w:t xml:space="preserve"> </w:t>
      </w:r>
      <w:r>
        <w:rPr>
          <w:rFonts w:asciiTheme="minorHAnsi" w:hAnsiTheme="minorHAnsi"/>
          <w:sz w:val="22"/>
          <w:szCs w:val="22"/>
          <w:lang w:val="en-US"/>
        </w:rPr>
        <w:t xml:space="preserve">- </w:t>
      </w:r>
      <w:proofErr w:type="spellStart"/>
      <w:r w:rsidRPr="00E8386D">
        <w:rPr>
          <w:rFonts w:asciiTheme="minorHAnsi" w:hAnsiTheme="minorHAnsi"/>
          <w:sz w:val="22"/>
          <w:szCs w:val="22"/>
          <w:lang w:val="en-US"/>
        </w:rPr>
        <w:t>Tvorba</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národnej</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sústavy</w:t>
      </w:r>
      <w:proofErr w:type="spellEnd"/>
      <w:r w:rsidRPr="00E8386D">
        <w:rPr>
          <w:rFonts w:asciiTheme="minorHAnsi" w:hAnsiTheme="minorHAnsi"/>
          <w:sz w:val="22"/>
          <w:szCs w:val="22"/>
          <w:lang w:val="en-US"/>
        </w:rPr>
        <w:t xml:space="preserve"> </w:t>
      </w:r>
      <w:proofErr w:type="spellStart"/>
      <w:r w:rsidRPr="00E8386D">
        <w:rPr>
          <w:rFonts w:asciiTheme="minorHAnsi" w:hAnsiTheme="minorHAnsi"/>
          <w:sz w:val="22"/>
          <w:szCs w:val="22"/>
          <w:lang w:val="en-US"/>
        </w:rPr>
        <w:t>kvalifikácií</w:t>
      </w:r>
      <w:proofErr w:type="spellEnd"/>
      <w:r w:rsidRPr="00E8386D">
        <w:rPr>
          <w:rFonts w:asciiTheme="minorHAnsi" w:hAnsiTheme="minorHAnsi"/>
          <w:sz w:val="22"/>
          <w:szCs w:val="22"/>
          <w:lang w:val="en-US"/>
        </w:rPr>
        <w:t xml:space="preserve">, </w:t>
      </w:r>
      <w:r>
        <w:rPr>
          <w:rFonts w:asciiTheme="minorHAnsi" w:hAnsiTheme="minorHAnsi"/>
          <w:sz w:val="22"/>
          <w:szCs w:val="22"/>
          <w:lang w:val="en-US"/>
        </w:rPr>
        <w:t>National Institute of Vocational Education (</w:t>
      </w:r>
      <w:r w:rsidRPr="00E8386D">
        <w:rPr>
          <w:rFonts w:asciiTheme="minorHAnsi" w:hAnsiTheme="minorHAnsi"/>
          <w:sz w:val="22"/>
          <w:szCs w:val="22"/>
          <w:lang w:val="en-US"/>
        </w:rPr>
        <w:t>National Project Development of National Qualification Framework</w:t>
      </w:r>
      <w:r>
        <w:rPr>
          <w:rFonts w:asciiTheme="minorHAnsi" w:hAnsiTheme="minorHAnsi"/>
          <w:sz w:val="22"/>
          <w:szCs w:val="22"/>
          <w:lang w:val="en-US"/>
        </w:rPr>
        <w:t>)</w:t>
      </w:r>
    </w:p>
    <w:p w:rsidR="00771808" w:rsidRPr="00E8386D" w:rsidRDefault="003E5AC9" w:rsidP="00771808">
      <w:pPr>
        <w:rPr>
          <w:rFonts w:asciiTheme="minorHAnsi" w:hAnsiTheme="minorHAnsi"/>
          <w:sz w:val="22"/>
          <w:szCs w:val="22"/>
          <w:lang w:val="en-US"/>
        </w:rPr>
      </w:pPr>
      <w:hyperlink r:id="rId19" w:history="1">
        <w:r w:rsidR="00771808" w:rsidRPr="00E8386D">
          <w:rPr>
            <w:rStyle w:val="Hypertextovprepojenie"/>
            <w:rFonts w:asciiTheme="minorHAnsi" w:hAnsiTheme="minorHAnsi"/>
            <w:sz w:val="22"/>
            <w:szCs w:val="22"/>
            <w:lang w:val="en-US"/>
          </w:rPr>
          <w:t>http://www.tvorbansk.sk/</w:t>
        </w:r>
      </w:hyperlink>
    </w:p>
    <w:p w:rsidR="00771808" w:rsidRPr="00E8386D" w:rsidRDefault="00771808" w:rsidP="00771808">
      <w:pPr>
        <w:rPr>
          <w:rFonts w:asciiTheme="minorHAnsi" w:hAnsiTheme="minorHAnsi"/>
          <w:sz w:val="22"/>
          <w:szCs w:val="22"/>
          <w:lang w:val="en-US"/>
        </w:rPr>
      </w:pPr>
    </w:p>
    <w:p w:rsidR="00871D4F" w:rsidRPr="00CF24C2" w:rsidRDefault="00871D4F" w:rsidP="00871D4F">
      <w:pPr>
        <w:rPr>
          <w:lang w:val="en-US"/>
        </w:rPr>
      </w:pPr>
    </w:p>
    <w:p w:rsidR="00D31F73" w:rsidRDefault="00D31F73">
      <w:pPr>
        <w:rPr>
          <w:rFonts w:asciiTheme="minorHAnsi" w:hAnsiTheme="minorHAnsi"/>
          <w:sz w:val="22"/>
          <w:lang w:val="en-US"/>
        </w:rPr>
      </w:pPr>
    </w:p>
    <w:p w:rsidR="00D31F73" w:rsidRPr="00302D74" w:rsidRDefault="00D31F73">
      <w:pPr>
        <w:rPr>
          <w:rFonts w:asciiTheme="minorHAnsi" w:hAnsiTheme="minorHAnsi"/>
          <w:sz w:val="22"/>
          <w:lang w:val="en-US"/>
        </w:rPr>
      </w:pPr>
    </w:p>
    <w:sectPr w:rsidR="00D31F73" w:rsidRPr="00302D74" w:rsidSect="00AA76D9">
      <w:headerReference w:type="default" r:id="rId20"/>
      <w:footerReference w:type="default" r:id="rId21"/>
      <w:headerReference w:type="first" r:id="rId22"/>
      <w:pgSz w:w="12240" w:h="15840" w:code="1"/>
      <w:pgMar w:top="1440" w:right="1440" w:bottom="993"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7F6" w:rsidRDefault="00E057F6" w:rsidP="00D31F73">
      <w:r>
        <w:separator/>
      </w:r>
    </w:p>
  </w:endnote>
  <w:endnote w:type="continuationSeparator" w:id="0">
    <w:p w:rsidR="00E057F6" w:rsidRDefault="00E057F6" w:rsidP="00D31F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22294"/>
      <w:docPartObj>
        <w:docPartGallery w:val="Page Numbers (Bottom of Page)"/>
        <w:docPartUnique/>
      </w:docPartObj>
    </w:sdtPr>
    <w:sdtContent>
      <w:p w:rsidR="00E057F6" w:rsidRDefault="00E057F6" w:rsidP="00351744"/>
      <w:p w:rsidR="00E057F6" w:rsidRDefault="00E057F6" w:rsidP="00351744">
        <w:r w:rsidRPr="00351744">
          <w:rPr>
            <w:noProof/>
            <w:lang w:val="sk-SK" w:eastAsia="sk-SK"/>
          </w:rPr>
          <w:drawing>
            <wp:inline distT="0" distB="0" distL="0" distR="0">
              <wp:extent cx="1320800" cy="446760"/>
              <wp:effectExtent l="1905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320800" cy="446760"/>
                      </a:xfrm>
                      <a:prstGeom prst="rect">
                        <a:avLst/>
                      </a:prstGeom>
                      <a:noFill/>
                      <a:ln w="9525">
                        <a:noFill/>
                        <a:miter lim="800000"/>
                        <a:headEnd/>
                        <a:tailEnd/>
                      </a:ln>
                    </pic:spPr>
                  </pic:pic>
                </a:graphicData>
              </a:graphic>
            </wp:inline>
          </w:drawing>
        </w:r>
      </w:p>
      <w:p w:rsidR="00E057F6" w:rsidRPr="00351744" w:rsidRDefault="00E057F6" w:rsidP="00AA76D9">
        <w:pPr>
          <w:rPr>
            <w:sz w:val="22"/>
          </w:rPr>
        </w:pPr>
        <w:r w:rsidRPr="00AA76D9">
          <w:rPr>
            <w:rFonts w:ascii="Arial" w:hAnsi="Arial" w:cs="Arial"/>
            <w:sz w:val="16"/>
            <w:szCs w:val="16"/>
          </w:rPr>
          <w:t>This project has been funded with support from the European Commission. This publication reflects the views only of the author, and the Commission cannot be held responsible for any use which may be made of the information contained therein</w:t>
        </w:r>
        <w:r w:rsidRPr="00351744">
          <w:rPr>
            <w:rFonts w:ascii="Arial" w:hAnsi="Arial" w:cs="Arial"/>
            <w:sz w:val="18"/>
            <w:szCs w:val="20"/>
          </w:rPr>
          <w:t>.</w:t>
        </w:r>
      </w:p>
      <w:p w:rsidR="00E057F6" w:rsidRDefault="00E057F6">
        <w:pPr>
          <w:pStyle w:val="Pta"/>
          <w:jc w:val="right"/>
        </w:pPr>
        <w:r w:rsidRPr="00D31F73">
          <w:rPr>
            <w:rFonts w:asciiTheme="minorHAnsi" w:hAnsiTheme="minorHAnsi"/>
            <w:sz w:val="20"/>
          </w:rPr>
          <w:fldChar w:fldCharType="begin"/>
        </w:r>
        <w:r w:rsidRPr="00D31F73">
          <w:rPr>
            <w:rFonts w:asciiTheme="minorHAnsi" w:hAnsiTheme="minorHAnsi"/>
            <w:sz w:val="20"/>
          </w:rPr>
          <w:instrText xml:space="preserve"> PAGE   \* MERGEFORMAT </w:instrText>
        </w:r>
        <w:r w:rsidRPr="00D31F73">
          <w:rPr>
            <w:rFonts w:asciiTheme="minorHAnsi" w:hAnsiTheme="minorHAnsi"/>
            <w:sz w:val="20"/>
          </w:rPr>
          <w:fldChar w:fldCharType="separate"/>
        </w:r>
        <w:r w:rsidR="00367442">
          <w:rPr>
            <w:rFonts w:asciiTheme="minorHAnsi" w:hAnsiTheme="minorHAnsi"/>
            <w:noProof/>
            <w:sz w:val="20"/>
          </w:rPr>
          <w:t>10</w:t>
        </w:r>
        <w:r w:rsidRPr="00D31F73">
          <w:rPr>
            <w:rFonts w:asciiTheme="minorHAnsi" w:hAnsiTheme="minorHAnsi"/>
            <w:sz w:val="20"/>
          </w:rPr>
          <w:fldChar w:fldCharType="end"/>
        </w:r>
      </w:p>
    </w:sdtContent>
  </w:sdt>
  <w:p w:rsidR="00E057F6" w:rsidRDefault="00E057F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7F6" w:rsidRDefault="00E057F6" w:rsidP="00D31F73">
      <w:r>
        <w:separator/>
      </w:r>
    </w:p>
  </w:footnote>
  <w:footnote w:type="continuationSeparator" w:id="0">
    <w:p w:rsidR="00E057F6" w:rsidRDefault="00E057F6" w:rsidP="00D31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riekatabuky"/>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26"/>
      <w:gridCol w:w="236"/>
    </w:tblGrid>
    <w:tr w:rsidR="00E057F6" w:rsidTr="00351744">
      <w:tc>
        <w:tcPr>
          <w:tcW w:w="9726" w:type="dxa"/>
        </w:tcPr>
        <w:tbl>
          <w:tblPr>
            <w:tblStyle w:val="Mriekatabuky"/>
            <w:tblW w:w="9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6675"/>
          </w:tblGrid>
          <w:tr w:rsidR="00E057F6" w:rsidTr="00351744">
            <w:tc>
              <w:tcPr>
                <w:tcW w:w="2835" w:type="dxa"/>
              </w:tcPr>
              <w:p w:rsidR="00E057F6" w:rsidRDefault="00E057F6" w:rsidP="00351744">
                <w:pPr>
                  <w:pStyle w:val="Hlavika"/>
                </w:pPr>
                <w:r w:rsidRPr="00351744">
                  <w:rPr>
                    <w:noProof/>
                    <w:lang w:val="sk-SK" w:eastAsia="sk-SK"/>
                  </w:rPr>
                  <w:drawing>
                    <wp:inline distT="0" distB="0" distL="0" distR="0">
                      <wp:extent cx="1000303" cy="742950"/>
                      <wp:effectExtent l="19050" t="0" r="9347" b="0"/>
                      <wp:docPr id="16" name="Grafik 10" descr="REGIO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AL LOGO.JPG"/>
                              <pic:cNvPicPr/>
                            </pic:nvPicPr>
                            <pic:blipFill>
                              <a:blip r:embed="rId1"/>
                              <a:stretch>
                                <a:fillRect/>
                              </a:stretch>
                            </pic:blipFill>
                            <pic:spPr>
                              <a:xfrm>
                                <a:off x="0" y="0"/>
                                <a:ext cx="1001222" cy="743632"/>
                              </a:xfrm>
                              <a:prstGeom prst="rect">
                                <a:avLst/>
                              </a:prstGeom>
                            </pic:spPr>
                          </pic:pic>
                        </a:graphicData>
                      </a:graphic>
                    </wp:inline>
                  </w:drawing>
                </w:r>
                <w:r>
                  <w:t xml:space="preserve">                        </w:t>
                </w:r>
              </w:p>
            </w:tc>
            <w:tc>
              <w:tcPr>
                <w:tcW w:w="6675" w:type="dxa"/>
              </w:tcPr>
              <w:p w:rsidR="00E057F6" w:rsidRDefault="00E057F6" w:rsidP="00351744">
                <w:pPr>
                  <w:pStyle w:val="Hlavika"/>
                  <w:jc w:val="right"/>
                </w:pPr>
                <w:r w:rsidRPr="00351744">
                  <w:rPr>
                    <w:noProof/>
                    <w:lang w:val="sk-SK" w:eastAsia="sk-SK"/>
                  </w:rPr>
                  <w:drawing>
                    <wp:inline distT="0" distB="0" distL="0" distR="0">
                      <wp:extent cx="757545" cy="629728"/>
                      <wp:effectExtent l="19050" t="0" r="4455" b="0"/>
                      <wp:docPr id="17" name="Obrázok 3" desc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N.jpg"/>
                              <pic:cNvPicPr/>
                            </pic:nvPicPr>
                            <pic:blipFill>
                              <a:blip r:embed="rId2"/>
                              <a:stretch>
                                <a:fillRect/>
                              </a:stretch>
                            </pic:blipFill>
                            <pic:spPr>
                              <a:xfrm>
                                <a:off x="0" y="0"/>
                                <a:ext cx="762376" cy="633744"/>
                              </a:xfrm>
                              <a:prstGeom prst="rect">
                                <a:avLst/>
                              </a:prstGeom>
                            </pic:spPr>
                          </pic:pic>
                        </a:graphicData>
                      </a:graphic>
                    </wp:inline>
                  </w:drawing>
                </w:r>
              </w:p>
            </w:tc>
          </w:tr>
        </w:tbl>
        <w:p w:rsidR="00E057F6" w:rsidRDefault="00E057F6" w:rsidP="00351744">
          <w:pPr>
            <w:pStyle w:val="Hlavika"/>
          </w:pPr>
        </w:p>
      </w:tc>
      <w:tc>
        <w:tcPr>
          <w:tcW w:w="236" w:type="dxa"/>
        </w:tcPr>
        <w:p w:rsidR="00E057F6" w:rsidRDefault="00E057F6" w:rsidP="00351744">
          <w:pPr>
            <w:pStyle w:val="Hlavika"/>
            <w:jc w:val="right"/>
          </w:pPr>
        </w:p>
      </w:tc>
    </w:tr>
  </w:tbl>
  <w:p w:rsidR="00E057F6" w:rsidRDefault="00E057F6">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riekatabuky"/>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26"/>
      <w:gridCol w:w="236"/>
    </w:tblGrid>
    <w:tr w:rsidR="00E057F6" w:rsidTr="002D21C7">
      <w:tc>
        <w:tcPr>
          <w:tcW w:w="9726" w:type="dxa"/>
        </w:tcPr>
        <w:tbl>
          <w:tblPr>
            <w:tblStyle w:val="Mriekatabuky"/>
            <w:tblW w:w="9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6675"/>
          </w:tblGrid>
          <w:tr w:rsidR="00E057F6" w:rsidTr="002D21C7">
            <w:tc>
              <w:tcPr>
                <w:tcW w:w="2835" w:type="dxa"/>
              </w:tcPr>
              <w:p w:rsidR="00E057F6" w:rsidRDefault="00E057F6" w:rsidP="00EB6837">
                <w:pPr>
                  <w:pStyle w:val="Hlavika"/>
                </w:pPr>
                <w:r w:rsidRPr="00351744">
                  <w:rPr>
                    <w:noProof/>
                    <w:lang w:val="sk-SK" w:eastAsia="sk-SK"/>
                  </w:rPr>
                  <w:drawing>
                    <wp:inline distT="0" distB="0" distL="0" distR="0">
                      <wp:extent cx="1000303" cy="742950"/>
                      <wp:effectExtent l="19050" t="0" r="9347" b="0"/>
                      <wp:docPr id="19" name="Grafik 10" descr="REGIO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AL LOGO.JPG"/>
                              <pic:cNvPicPr/>
                            </pic:nvPicPr>
                            <pic:blipFill>
                              <a:blip r:embed="rId1"/>
                              <a:stretch>
                                <a:fillRect/>
                              </a:stretch>
                            </pic:blipFill>
                            <pic:spPr>
                              <a:xfrm>
                                <a:off x="0" y="0"/>
                                <a:ext cx="1001222" cy="743632"/>
                              </a:xfrm>
                              <a:prstGeom prst="rect">
                                <a:avLst/>
                              </a:prstGeom>
                            </pic:spPr>
                          </pic:pic>
                        </a:graphicData>
                      </a:graphic>
                    </wp:inline>
                  </w:drawing>
                </w:r>
                <w:r>
                  <w:t xml:space="preserve">                        </w:t>
                </w:r>
              </w:p>
            </w:tc>
            <w:tc>
              <w:tcPr>
                <w:tcW w:w="6675" w:type="dxa"/>
              </w:tcPr>
              <w:p w:rsidR="00E057F6" w:rsidRDefault="00E057F6" w:rsidP="00EB6837">
                <w:pPr>
                  <w:pStyle w:val="Hlavika"/>
                  <w:jc w:val="right"/>
                </w:pPr>
                <w:r w:rsidRPr="00351744">
                  <w:rPr>
                    <w:noProof/>
                    <w:lang w:val="sk-SK" w:eastAsia="sk-SK"/>
                  </w:rPr>
                  <w:drawing>
                    <wp:inline distT="0" distB="0" distL="0" distR="0">
                      <wp:extent cx="757545" cy="629728"/>
                      <wp:effectExtent l="19050" t="0" r="4455" b="0"/>
                      <wp:docPr id="20" name="Obrázok 3" desc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N.jpg"/>
                              <pic:cNvPicPr/>
                            </pic:nvPicPr>
                            <pic:blipFill>
                              <a:blip r:embed="rId2"/>
                              <a:stretch>
                                <a:fillRect/>
                              </a:stretch>
                            </pic:blipFill>
                            <pic:spPr>
                              <a:xfrm>
                                <a:off x="0" y="0"/>
                                <a:ext cx="762376" cy="633744"/>
                              </a:xfrm>
                              <a:prstGeom prst="rect">
                                <a:avLst/>
                              </a:prstGeom>
                            </pic:spPr>
                          </pic:pic>
                        </a:graphicData>
                      </a:graphic>
                    </wp:inline>
                  </w:drawing>
                </w:r>
              </w:p>
            </w:tc>
          </w:tr>
        </w:tbl>
        <w:p w:rsidR="00E057F6" w:rsidRDefault="00E057F6" w:rsidP="00EB6837">
          <w:pPr>
            <w:pStyle w:val="Hlavika"/>
          </w:pPr>
        </w:p>
      </w:tc>
      <w:tc>
        <w:tcPr>
          <w:tcW w:w="236" w:type="dxa"/>
        </w:tcPr>
        <w:p w:rsidR="00E057F6" w:rsidRDefault="00E057F6" w:rsidP="00EB6837">
          <w:pPr>
            <w:pStyle w:val="Hlavika"/>
            <w:jc w:val="right"/>
          </w:pPr>
        </w:p>
      </w:tc>
    </w:tr>
  </w:tbl>
  <w:p w:rsidR="00E057F6" w:rsidRDefault="00E057F6">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F5C06"/>
    <w:multiLevelType w:val="hybridMultilevel"/>
    <w:tmpl w:val="4CB672C8"/>
    <w:lvl w:ilvl="0" w:tplc="FA006006">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C1EE5"/>
    <w:multiLevelType w:val="hybridMultilevel"/>
    <w:tmpl w:val="4EF21ED8"/>
    <w:lvl w:ilvl="0" w:tplc="FA006006">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rsids>
    <w:rsidRoot w:val="00302D74"/>
    <w:rsid w:val="00023D5E"/>
    <w:rsid w:val="00026631"/>
    <w:rsid w:val="000E38B0"/>
    <w:rsid w:val="000E415F"/>
    <w:rsid w:val="000F5259"/>
    <w:rsid w:val="00101E68"/>
    <w:rsid w:val="00107691"/>
    <w:rsid w:val="001539EC"/>
    <w:rsid w:val="0018012C"/>
    <w:rsid w:val="00184792"/>
    <w:rsid w:val="00187B82"/>
    <w:rsid w:val="00194E88"/>
    <w:rsid w:val="001A7AE0"/>
    <w:rsid w:val="001C6977"/>
    <w:rsid w:val="001D1722"/>
    <w:rsid w:val="002137CA"/>
    <w:rsid w:val="00221EF4"/>
    <w:rsid w:val="00222888"/>
    <w:rsid w:val="00234200"/>
    <w:rsid w:val="0024505C"/>
    <w:rsid w:val="00254D48"/>
    <w:rsid w:val="002626EB"/>
    <w:rsid w:val="002718A4"/>
    <w:rsid w:val="002D21C7"/>
    <w:rsid w:val="002E606E"/>
    <w:rsid w:val="002F5D00"/>
    <w:rsid w:val="003018BC"/>
    <w:rsid w:val="00302D74"/>
    <w:rsid w:val="00307B2D"/>
    <w:rsid w:val="0031725D"/>
    <w:rsid w:val="0033151E"/>
    <w:rsid w:val="00342595"/>
    <w:rsid w:val="00351744"/>
    <w:rsid w:val="00367442"/>
    <w:rsid w:val="003A494A"/>
    <w:rsid w:val="003A494B"/>
    <w:rsid w:val="003E5AC9"/>
    <w:rsid w:val="003E6C5F"/>
    <w:rsid w:val="003F44E3"/>
    <w:rsid w:val="00412D90"/>
    <w:rsid w:val="00453CC5"/>
    <w:rsid w:val="004A5463"/>
    <w:rsid w:val="004D14A4"/>
    <w:rsid w:val="004D491C"/>
    <w:rsid w:val="004D49D6"/>
    <w:rsid w:val="004D765E"/>
    <w:rsid w:val="00512BE2"/>
    <w:rsid w:val="00514578"/>
    <w:rsid w:val="005315DA"/>
    <w:rsid w:val="00560E27"/>
    <w:rsid w:val="005636AE"/>
    <w:rsid w:val="0056733E"/>
    <w:rsid w:val="00585BCB"/>
    <w:rsid w:val="005A28FD"/>
    <w:rsid w:val="005A5857"/>
    <w:rsid w:val="006532A8"/>
    <w:rsid w:val="00655FD5"/>
    <w:rsid w:val="006879AB"/>
    <w:rsid w:val="00693A12"/>
    <w:rsid w:val="006A5370"/>
    <w:rsid w:val="006C5A20"/>
    <w:rsid w:val="006F5CDB"/>
    <w:rsid w:val="00702E83"/>
    <w:rsid w:val="0072585C"/>
    <w:rsid w:val="0073438B"/>
    <w:rsid w:val="00742530"/>
    <w:rsid w:val="007467F2"/>
    <w:rsid w:val="00765F64"/>
    <w:rsid w:val="00771808"/>
    <w:rsid w:val="00774861"/>
    <w:rsid w:val="007E0B37"/>
    <w:rsid w:val="00841839"/>
    <w:rsid w:val="008564CB"/>
    <w:rsid w:val="00861C46"/>
    <w:rsid w:val="00871D4F"/>
    <w:rsid w:val="008A6848"/>
    <w:rsid w:val="008C7251"/>
    <w:rsid w:val="00922EBF"/>
    <w:rsid w:val="00927EEC"/>
    <w:rsid w:val="00986C8D"/>
    <w:rsid w:val="009B31F5"/>
    <w:rsid w:val="009C1F7B"/>
    <w:rsid w:val="009D1EE8"/>
    <w:rsid w:val="00A01043"/>
    <w:rsid w:val="00A328FD"/>
    <w:rsid w:val="00A56B01"/>
    <w:rsid w:val="00A614E3"/>
    <w:rsid w:val="00A707A2"/>
    <w:rsid w:val="00A75F39"/>
    <w:rsid w:val="00A85811"/>
    <w:rsid w:val="00AA1803"/>
    <w:rsid w:val="00AA76D9"/>
    <w:rsid w:val="00AF0BA4"/>
    <w:rsid w:val="00B121AD"/>
    <w:rsid w:val="00B45A13"/>
    <w:rsid w:val="00B80E7A"/>
    <w:rsid w:val="00BA0DCD"/>
    <w:rsid w:val="00BB7BD6"/>
    <w:rsid w:val="00BD37BD"/>
    <w:rsid w:val="00BF258B"/>
    <w:rsid w:val="00C20E64"/>
    <w:rsid w:val="00C51155"/>
    <w:rsid w:val="00C6353E"/>
    <w:rsid w:val="00C714F6"/>
    <w:rsid w:val="00CA5ABF"/>
    <w:rsid w:val="00D03189"/>
    <w:rsid w:val="00D31F73"/>
    <w:rsid w:val="00D81837"/>
    <w:rsid w:val="00D86BFF"/>
    <w:rsid w:val="00D91825"/>
    <w:rsid w:val="00DB36CA"/>
    <w:rsid w:val="00DF69B8"/>
    <w:rsid w:val="00E057F6"/>
    <w:rsid w:val="00E155EB"/>
    <w:rsid w:val="00E52F3D"/>
    <w:rsid w:val="00E67675"/>
    <w:rsid w:val="00E8386D"/>
    <w:rsid w:val="00E84C91"/>
    <w:rsid w:val="00E95628"/>
    <w:rsid w:val="00EA4EBD"/>
    <w:rsid w:val="00EB6837"/>
    <w:rsid w:val="00EC6933"/>
    <w:rsid w:val="00EE6B51"/>
    <w:rsid w:val="00EF37D0"/>
    <w:rsid w:val="00F65994"/>
    <w:rsid w:val="00F66C0A"/>
    <w:rsid w:val="00F74CA2"/>
    <w:rsid w:val="00F8657E"/>
    <w:rsid w:val="00F97C13"/>
    <w:rsid w:val="00FF7929"/>
    <w:rsid w:val="00FF7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3"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6353E"/>
    <w:rPr>
      <w:sz w:val="24"/>
      <w:szCs w:val="24"/>
      <w:lang w:val="it-IT" w:eastAsia="zh-CN"/>
    </w:rPr>
  </w:style>
  <w:style w:type="paragraph" w:styleId="Nadpis1">
    <w:name w:val="heading 1"/>
    <w:basedOn w:val="Normlny"/>
    <w:next w:val="Normlny"/>
    <w:link w:val="Nadpis1Char"/>
    <w:qFormat/>
    <w:rsid w:val="00C6353E"/>
    <w:pPr>
      <w:keepNext/>
      <w:spacing w:before="240" w:after="60"/>
      <w:outlineLvl w:val="0"/>
    </w:pPr>
    <w:rPr>
      <w:rFonts w:ascii="Cambria" w:eastAsia="Times New Roman" w:hAnsi="Cambria"/>
      <w:b/>
      <w:bCs/>
      <w:kern w:val="32"/>
      <w:sz w:val="32"/>
      <w:szCs w:val="32"/>
    </w:rPr>
  </w:style>
  <w:style w:type="paragraph" w:styleId="Nadpis2">
    <w:name w:val="heading 2"/>
    <w:basedOn w:val="Normlny"/>
    <w:next w:val="Normlny"/>
    <w:link w:val="Nadpis2Char"/>
    <w:unhideWhenUsed/>
    <w:qFormat/>
    <w:rsid w:val="00302D74"/>
    <w:pPr>
      <w:keepNext/>
      <w:spacing w:before="240" w:after="60"/>
      <w:outlineLvl w:val="1"/>
    </w:pPr>
    <w:rPr>
      <w:rFonts w:asciiTheme="minorHAnsi" w:eastAsiaTheme="majorEastAsia" w:hAnsiTheme="minorHAnsi" w:cstheme="majorBidi"/>
      <w:b/>
      <w:bCs/>
      <w:iCs/>
      <w:color w:val="1F497D" w:themeColor="text2"/>
      <w:sz w:val="22"/>
      <w:szCs w:val="22"/>
      <w:lang w:val="en-US"/>
    </w:rPr>
  </w:style>
  <w:style w:type="paragraph" w:styleId="Nadpis3">
    <w:name w:val="heading 3"/>
    <w:basedOn w:val="Normlny"/>
    <w:next w:val="Normlny"/>
    <w:link w:val="Nadpis3Char"/>
    <w:unhideWhenUsed/>
    <w:qFormat/>
    <w:rsid w:val="00302D74"/>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6353E"/>
    <w:rPr>
      <w:rFonts w:ascii="Cambria" w:eastAsia="Times New Roman" w:hAnsi="Cambria" w:cs="Times New Roman"/>
      <w:b/>
      <w:bCs/>
      <w:kern w:val="32"/>
      <w:sz w:val="32"/>
      <w:szCs w:val="32"/>
      <w:lang w:val="it-IT" w:eastAsia="zh-CN"/>
    </w:rPr>
  </w:style>
  <w:style w:type="character" w:customStyle="1" w:styleId="Nadpis2Char">
    <w:name w:val="Nadpis 2 Char"/>
    <w:basedOn w:val="Predvolenpsmoodseku"/>
    <w:link w:val="Nadpis2"/>
    <w:rsid w:val="00302D74"/>
    <w:rPr>
      <w:rFonts w:asciiTheme="minorHAnsi" w:eastAsiaTheme="majorEastAsia" w:hAnsiTheme="minorHAnsi" w:cstheme="majorBidi"/>
      <w:b/>
      <w:bCs/>
      <w:iCs/>
      <w:color w:val="1F497D" w:themeColor="text2"/>
      <w:sz w:val="22"/>
      <w:szCs w:val="22"/>
      <w:lang w:eastAsia="zh-CN"/>
    </w:rPr>
  </w:style>
  <w:style w:type="character" w:styleId="Siln">
    <w:name w:val="Strong"/>
    <w:basedOn w:val="Predvolenpsmoodseku"/>
    <w:uiPriority w:val="22"/>
    <w:qFormat/>
    <w:rsid w:val="00C6353E"/>
    <w:rPr>
      <w:b/>
      <w:bCs/>
    </w:rPr>
  </w:style>
  <w:style w:type="paragraph" w:styleId="Bezriadkovania">
    <w:name w:val="No Spacing"/>
    <w:uiPriority w:val="1"/>
    <w:qFormat/>
    <w:rsid w:val="00C6353E"/>
    <w:rPr>
      <w:rFonts w:ascii="Calibri" w:eastAsia="Calibri" w:hAnsi="Calibri"/>
      <w:sz w:val="22"/>
      <w:szCs w:val="22"/>
    </w:rPr>
  </w:style>
  <w:style w:type="paragraph" w:styleId="Odsekzoznamu">
    <w:name w:val="List Paragraph"/>
    <w:basedOn w:val="Normlny"/>
    <w:uiPriority w:val="34"/>
    <w:qFormat/>
    <w:rsid w:val="00C6353E"/>
    <w:pPr>
      <w:ind w:left="720"/>
      <w:contextualSpacing/>
    </w:pPr>
  </w:style>
  <w:style w:type="paragraph" w:styleId="Hlavikaobsahu">
    <w:name w:val="TOC Heading"/>
    <w:basedOn w:val="Nadpis1"/>
    <w:next w:val="Normlny"/>
    <w:uiPriority w:val="39"/>
    <w:semiHidden/>
    <w:unhideWhenUsed/>
    <w:qFormat/>
    <w:rsid w:val="00C6353E"/>
    <w:pPr>
      <w:keepLines/>
      <w:spacing w:before="480" w:after="0" w:line="276" w:lineRule="auto"/>
      <w:outlineLvl w:val="9"/>
    </w:pPr>
    <w:rPr>
      <w:color w:val="365F91"/>
      <w:kern w:val="0"/>
      <w:sz w:val="28"/>
      <w:szCs w:val="28"/>
      <w:lang w:val="en-US" w:eastAsia="en-US"/>
    </w:rPr>
  </w:style>
  <w:style w:type="paragraph" w:customStyle="1" w:styleId="titolo2">
    <w:name w:val="titolo 2"/>
    <w:basedOn w:val="Normlny"/>
    <w:link w:val="titolo2Char"/>
    <w:qFormat/>
    <w:rsid w:val="00C6353E"/>
    <w:pPr>
      <w:spacing w:line="360" w:lineRule="auto"/>
    </w:pPr>
    <w:rPr>
      <w:b/>
      <w:bCs/>
      <w:color w:val="1F497D"/>
      <w:sz w:val="22"/>
      <w:szCs w:val="22"/>
      <w:lang w:val="en-US"/>
    </w:rPr>
  </w:style>
  <w:style w:type="character" w:customStyle="1" w:styleId="titolo2Char">
    <w:name w:val="titolo 2 Char"/>
    <w:basedOn w:val="Predvolenpsmoodseku"/>
    <w:link w:val="titolo2"/>
    <w:rsid w:val="00C6353E"/>
    <w:rPr>
      <w:b/>
      <w:bCs/>
      <w:color w:val="1F497D"/>
      <w:sz w:val="22"/>
      <w:szCs w:val="22"/>
      <w:lang w:eastAsia="zh-CN"/>
    </w:rPr>
  </w:style>
  <w:style w:type="character" w:customStyle="1" w:styleId="Nadpis3Char">
    <w:name w:val="Nadpis 3 Char"/>
    <w:basedOn w:val="Predvolenpsmoodseku"/>
    <w:link w:val="Nadpis3"/>
    <w:rsid w:val="00302D74"/>
    <w:rPr>
      <w:rFonts w:asciiTheme="majorHAnsi" w:eastAsiaTheme="majorEastAsia" w:hAnsiTheme="majorHAnsi" w:cstheme="majorBidi"/>
      <w:b/>
      <w:bCs/>
      <w:color w:val="4F81BD" w:themeColor="accent1"/>
      <w:sz w:val="24"/>
      <w:szCs w:val="24"/>
      <w:lang w:val="it-IT" w:eastAsia="zh-CN"/>
    </w:rPr>
  </w:style>
  <w:style w:type="paragraph" w:styleId="Obsah2">
    <w:name w:val="toc 2"/>
    <w:basedOn w:val="Normlny"/>
    <w:next w:val="Normlny"/>
    <w:autoRedefine/>
    <w:uiPriority w:val="39"/>
    <w:unhideWhenUsed/>
    <w:rsid w:val="00D31F73"/>
    <w:pPr>
      <w:spacing w:after="100"/>
      <w:ind w:left="240"/>
    </w:pPr>
  </w:style>
  <w:style w:type="character" w:styleId="Hypertextovprepojenie">
    <w:name w:val="Hyperlink"/>
    <w:basedOn w:val="Predvolenpsmoodseku"/>
    <w:uiPriority w:val="99"/>
    <w:unhideWhenUsed/>
    <w:rsid w:val="00D31F73"/>
    <w:rPr>
      <w:color w:val="0000FF" w:themeColor="hyperlink"/>
      <w:u w:val="single"/>
    </w:rPr>
  </w:style>
  <w:style w:type="paragraph" w:styleId="Textbubliny">
    <w:name w:val="Balloon Text"/>
    <w:basedOn w:val="Normlny"/>
    <w:link w:val="TextbublinyChar"/>
    <w:uiPriority w:val="99"/>
    <w:semiHidden/>
    <w:unhideWhenUsed/>
    <w:rsid w:val="00D31F73"/>
    <w:rPr>
      <w:rFonts w:ascii="Tahoma" w:hAnsi="Tahoma" w:cs="Tahoma"/>
      <w:sz w:val="16"/>
      <w:szCs w:val="16"/>
    </w:rPr>
  </w:style>
  <w:style w:type="character" w:customStyle="1" w:styleId="TextbublinyChar">
    <w:name w:val="Text bubliny Char"/>
    <w:basedOn w:val="Predvolenpsmoodseku"/>
    <w:link w:val="Textbubliny"/>
    <w:uiPriority w:val="99"/>
    <w:semiHidden/>
    <w:rsid w:val="00D31F73"/>
    <w:rPr>
      <w:rFonts w:ascii="Tahoma" w:hAnsi="Tahoma" w:cs="Tahoma"/>
      <w:sz w:val="16"/>
      <w:szCs w:val="16"/>
      <w:lang w:val="it-IT" w:eastAsia="zh-CN"/>
    </w:rPr>
  </w:style>
  <w:style w:type="paragraph" w:styleId="Hlavika">
    <w:name w:val="header"/>
    <w:basedOn w:val="Normlny"/>
    <w:link w:val="HlavikaChar"/>
    <w:uiPriority w:val="99"/>
    <w:unhideWhenUsed/>
    <w:rsid w:val="00D31F73"/>
    <w:pPr>
      <w:tabs>
        <w:tab w:val="center" w:pos="4680"/>
        <w:tab w:val="right" w:pos="9360"/>
      </w:tabs>
    </w:pPr>
  </w:style>
  <w:style w:type="character" w:customStyle="1" w:styleId="HlavikaChar">
    <w:name w:val="Hlavička Char"/>
    <w:basedOn w:val="Predvolenpsmoodseku"/>
    <w:link w:val="Hlavika"/>
    <w:uiPriority w:val="99"/>
    <w:rsid w:val="00D31F73"/>
    <w:rPr>
      <w:sz w:val="24"/>
      <w:szCs w:val="24"/>
      <w:lang w:val="it-IT" w:eastAsia="zh-CN"/>
    </w:rPr>
  </w:style>
  <w:style w:type="paragraph" w:styleId="Pta">
    <w:name w:val="footer"/>
    <w:basedOn w:val="Normlny"/>
    <w:link w:val="PtaChar"/>
    <w:uiPriority w:val="99"/>
    <w:unhideWhenUsed/>
    <w:rsid w:val="00D31F73"/>
    <w:pPr>
      <w:tabs>
        <w:tab w:val="center" w:pos="4680"/>
        <w:tab w:val="right" w:pos="9360"/>
      </w:tabs>
    </w:pPr>
  </w:style>
  <w:style w:type="character" w:customStyle="1" w:styleId="PtaChar">
    <w:name w:val="Päta Char"/>
    <w:basedOn w:val="Predvolenpsmoodseku"/>
    <w:link w:val="Pta"/>
    <w:uiPriority w:val="99"/>
    <w:rsid w:val="00D31F73"/>
    <w:rPr>
      <w:sz w:val="24"/>
      <w:szCs w:val="24"/>
      <w:lang w:val="it-IT" w:eastAsia="zh-CN"/>
    </w:rPr>
  </w:style>
  <w:style w:type="table" w:styleId="Mriekatabuky">
    <w:name w:val="Table Grid"/>
    <w:basedOn w:val="Normlnatabuka"/>
    <w:uiPriority w:val="59"/>
    <w:rsid w:val="00D31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31F73"/>
    <w:pPr>
      <w:autoSpaceDE w:val="0"/>
      <w:autoSpaceDN w:val="0"/>
      <w:adjustRightInd w:val="0"/>
    </w:pPr>
    <w:rPr>
      <w:rFonts w:ascii="Tahoma" w:hAnsi="Tahoma" w:cs="Tahoma"/>
      <w:color w:val="000000"/>
      <w:sz w:val="24"/>
      <w:szCs w:val="24"/>
    </w:rPr>
  </w:style>
  <w:style w:type="character" w:styleId="PouitHypertextovPrepojenie">
    <w:name w:val="FollowedHyperlink"/>
    <w:basedOn w:val="Predvolenpsmoodseku"/>
    <w:uiPriority w:val="99"/>
    <w:semiHidden/>
    <w:unhideWhenUsed/>
    <w:rsid w:val="007718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33746088">
      <w:bodyDiv w:val="1"/>
      <w:marLeft w:val="0"/>
      <w:marRight w:val="0"/>
      <w:marTop w:val="0"/>
      <w:marBottom w:val="0"/>
      <w:divBdr>
        <w:top w:val="none" w:sz="0" w:space="0" w:color="auto"/>
        <w:left w:val="none" w:sz="0" w:space="0" w:color="auto"/>
        <w:bottom w:val="none" w:sz="0" w:space="0" w:color="auto"/>
        <w:right w:val="none" w:sz="0" w:space="0" w:color="auto"/>
      </w:divBdr>
      <w:divsChild>
        <w:div w:id="1509322287">
          <w:marLeft w:val="0"/>
          <w:marRight w:val="0"/>
          <w:marTop w:val="0"/>
          <w:marBottom w:val="0"/>
          <w:divBdr>
            <w:top w:val="none" w:sz="0" w:space="0" w:color="auto"/>
            <w:left w:val="none" w:sz="0" w:space="0" w:color="auto"/>
            <w:bottom w:val="none" w:sz="0" w:space="0" w:color="auto"/>
            <w:right w:val="none" w:sz="0" w:space="0" w:color="auto"/>
          </w:divBdr>
        </w:div>
        <w:div w:id="744062965">
          <w:marLeft w:val="0"/>
          <w:marRight w:val="0"/>
          <w:marTop w:val="0"/>
          <w:marBottom w:val="0"/>
          <w:divBdr>
            <w:top w:val="none" w:sz="0" w:space="0" w:color="auto"/>
            <w:left w:val="none" w:sz="0" w:space="0" w:color="auto"/>
            <w:bottom w:val="none" w:sz="0" w:space="0" w:color="auto"/>
            <w:right w:val="none" w:sz="0" w:space="0" w:color="auto"/>
          </w:divBdr>
        </w:div>
        <w:div w:id="198396708">
          <w:marLeft w:val="0"/>
          <w:marRight w:val="0"/>
          <w:marTop w:val="0"/>
          <w:marBottom w:val="0"/>
          <w:divBdr>
            <w:top w:val="none" w:sz="0" w:space="0" w:color="auto"/>
            <w:left w:val="none" w:sz="0" w:space="0" w:color="auto"/>
            <w:bottom w:val="none" w:sz="0" w:space="0" w:color="auto"/>
            <w:right w:val="none" w:sz="0" w:space="0" w:color="auto"/>
          </w:divBdr>
        </w:div>
      </w:divsChild>
    </w:div>
    <w:div w:id="1712219441">
      <w:bodyDiv w:val="1"/>
      <w:marLeft w:val="0"/>
      <w:marRight w:val="0"/>
      <w:marTop w:val="0"/>
      <w:marBottom w:val="0"/>
      <w:divBdr>
        <w:top w:val="none" w:sz="0" w:space="0" w:color="auto"/>
        <w:left w:val="none" w:sz="0" w:space="0" w:color="auto"/>
        <w:bottom w:val="none" w:sz="0" w:space="0" w:color="auto"/>
        <w:right w:val="none" w:sz="0" w:space="0" w:color="auto"/>
      </w:divBdr>
    </w:div>
    <w:div w:id="198962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ivd.sk" TargetMode="External"/><Relationship Id="rId18" Type="http://schemas.openxmlformats.org/officeDocument/2006/relationships/hyperlink" Target="http://nuczv.sk/projekty/dalsie-vzdelavanie-a-poradenstvo-pre-dospelych-ako-nastroj-lepsej-uplatnitelnosti-na-trhu-pra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aaic.sk" TargetMode="External"/><Relationship Id="rId17" Type="http://schemas.openxmlformats.org/officeDocument/2006/relationships/hyperlink" Target="http://nuczv.sk/projekty/dalsie-vzdelavanie-a-poradenstvo-pre-dospelych-ako-nastroj-lepsej-uplatnitelnosti-na-trhu-prace/" TargetMode="External"/><Relationship Id="rId2" Type="http://schemas.openxmlformats.org/officeDocument/2006/relationships/numbering" Target="numbering.xml"/><Relationship Id="rId16" Type="http://schemas.openxmlformats.org/officeDocument/2006/relationships/hyperlink" Target="http://Slovak.statistics.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zv.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sutv.sk" TargetMode="External"/><Relationship Id="rId23" Type="http://schemas.openxmlformats.org/officeDocument/2006/relationships/fontTable" Target="fontTable.xml"/><Relationship Id="rId10" Type="http://schemas.openxmlformats.org/officeDocument/2006/relationships/hyperlink" Target="http://www.minedu.sk" TargetMode="External"/><Relationship Id="rId19" Type="http://schemas.openxmlformats.org/officeDocument/2006/relationships/hyperlink" Target="http://www.tvorbansk.sk/" TargetMode="External"/><Relationship Id="rId4" Type="http://schemas.openxmlformats.org/officeDocument/2006/relationships/settings" Target="settings.xml"/><Relationship Id="rId9" Type="http://schemas.openxmlformats.org/officeDocument/2006/relationships/hyperlink" Target="http://nuczv.sk/projekty/dalsie-vzdelavanie-a-poradenstvo-pre-dospelych-ako-nastroj-lepsej-uplatnitelnosti-na-trhu-prace/" TargetMode="External"/><Relationship Id="rId14" Type="http://schemas.openxmlformats.org/officeDocument/2006/relationships/hyperlink" Target="http://nuczv.sk/narodne-forum-pre-celozivotne-poradenstvo/"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1E41A-BBA8-4388-AFE3-222AD47E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14</Pages>
  <Words>3706</Words>
  <Characters>21129</Characters>
  <Application>Microsoft Office Word</Application>
  <DocSecurity>0</DocSecurity>
  <Lines>176</Lines>
  <Paragraphs>49</Paragraphs>
  <ScaleCrop>false</ScaleCrop>
  <HeadingPairs>
    <vt:vector size="6" baseType="variant">
      <vt:variant>
        <vt:lpstr>Názov</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Executive Summary</vt:lpstr>
      <vt:lpstr>    Introduction: REGIONAL Project and [Country]</vt:lpstr>
    </vt:vector>
  </TitlesOfParts>
  <Company>Hewlett-Packard</Company>
  <LinksUpToDate>false</LinksUpToDate>
  <CharactersWithSpaces>24786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install</cp:lastModifiedBy>
  <cp:revision>3</cp:revision>
  <dcterms:created xsi:type="dcterms:W3CDTF">2015-03-01T22:23:00Z</dcterms:created>
  <dcterms:modified xsi:type="dcterms:W3CDTF">2016-10-14T13:51:00Z</dcterms:modified>
</cp:coreProperties>
</file>